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6CEAA2">
      <w:pPr>
        <w:spacing w:after="120"/>
        <w:ind w:left="1985" w:hanging="1985"/>
        <w:rPr>
          <w:rFonts w:hint="default" w:ascii="Arial" w:hAnsi="Arial" w:cs="Arial" w:eastAsiaTheme="minorEastAsia"/>
          <w:b/>
          <w:sz w:val="24"/>
          <w:szCs w:val="24"/>
          <w:lang w:val="en-US" w:eastAsia="zh-CN"/>
        </w:rPr>
      </w:pPr>
      <w:bookmarkStart w:id="0" w:name="_Hlk127531451"/>
      <w:bookmarkEnd w:id="0"/>
      <w:bookmarkStart w:id="1" w:name="OLE_LINK7"/>
      <w:bookmarkStart w:id="2" w:name="OLE_LINK6"/>
      <w:bookmarkStart w:id="3" w:name="OLE_LINK5"/>
      <w:r>
        <w:rPr>
          <w:rFonts w:ascii="Arial" w:hAnsi="Arial" w:cs="Arial" w:eastAsiaTheme="minorEastAsia"/>
          <w:b/>
          <w:sz w:val="24"/>
          <w:szCs w:val="24"/>
          <w:lang w:eastAsia="zh-CN"/>
        </w:rPr>
        <w:t>3GPP TSG-RAN WG4 Meeting #11</w:t>
      </w:r>
      <w:r>
        <w:rPr>
          <w:rFonts w:hint="eastAsia" w:ascii="Arial" w:hAnsi="Arial" w:cs="Arial" w:eastAsiaTheme="minorEastAsia"/>
          <w:b/>
          <w:sz w:val="24"/>
          <w:szCs w:val="24"/>
          <w:lang w:val="en-US" w:eastAsia="zh-CN"/>
        </w:rPr>
        <w:t>4bis</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bookmarkStart w:id="10" w:name="_GoBack"/>
      <w:r>
        <w:rPr>
          <w:rFonts w:ascii="Arial" w:hAnsi="Arial" w:cs="Arial" w:eastAsiaTheme="minorEastAsia"/>
          <w:b/>
          <w:sz w:val="24"/>
          <w:szCs w:val="24"/>
          <w:lang w:eastAsia="zh-CN"/>
        </w:rPr>
        <w:t>R4-</w:t>
      </w:r>
      <w:r>
        <w:rPr>
          <w:rFonts w:hint="eastAsia" w:ascii="Arial" w:hAnsi="Arial" w:cs="Arial" w:eastAsiaTheme="minorEastAsia"/>
          <w:b/>
          <w:sz w:val="24"/>
          <w:szCs w:val="24"/>
          <w:lang w:val="en-US" w:eastAsia="zh-CN"/>
        </w:rPr>
        <w:t>2504150</w:t>
      </w:r>
      <w:bookmarkEnd w:id="10"/>
    </w:p>
    <w:p w14:paraId="288E3CD0">
      <w:pPr>
        <w:tabs>
          <w:tab w:val="left" w:pos="2160"/>
        </w:tabs>
        <w:spacing w:before="180"/>
        <w:rPr>
          <w:rFonts w:ascii="Arial" w:hAnsi="Arial" w:cs="Arial"/>
          <w:b/>
          <w:sz w:val="24"/>
          <w:szCs w:val="24"/>
        </w:rPr>
      </w:pPr>
      <w:r>
        <w:rPr>
          <w:rFonts w:ascii="Arial" w:hAnsi="Arial" w:cs="Arial"/>
          <w:b/>
          <w:sz w:val="24"/>
          <w:szCs w:val="24"/>
          <w:lang w:eastAsia="zh-CN"/>
        </w:rPr>
        <w:t>Wuhan, Hubei, China, 07th – 11th April, 2025</w:t>
      </w:r>
    </w:p>
    <w:p w14:paraId="12601FD5">
      <w:pPr>
        <w:tabs>
          <w:tab w:val="left" w:pos="2160"/>
        </w:tabs>
        <w:spacing w:before="180"/>
        <w:rPr>
          <w:rFonts w:hint="default" w:ascii="Arial" w:hAnsi="Arial" w:eastAsia="宋体" w:cs="Arial"/>
          <w:b/>
          <w:sz w:val="24"/>
          <w:szCs w:val="24"/>
          <w:lang w:val="en-US" w:eastAsia="zh-CN"/>
        </w:rPr>
      </w:pPr>
      <w:r>
        <w:rPr>
          <w:rFonts w:ascii="Arial" w:hAnsi="Arial" w:cs="Arial"/>
          <w:b/>
          <w:sz w:val="24"/>
          <w:szCs w:val="24"/>
        </w:rPr>
        <w:t>Agenda item:</w:t>
      </w:r>
      <w:r>
        <w:rPr>
          <w:rFonts w:ascii="Arial" w:hAnsi="Arial" w:cs="Arial"/>
          <w:b/>
          <w:sz w:val="24"/>
          <w:szCs w:val="24"/>
        </w:rPr>
        <w:tab/>
      </w:r>
      <w:r>
        <w:rPr>
          <w:rFonts w:hint="eastAsia" w:ascii="Arial" w:hAnsi="Arial" w:eastAsia="宋体" w:cs="Arial"/>
          <w:b/>
          <w:sz w:val="24"/>
          <w:szCs w:val="24"/>
          <w:lang w:val="en-US" w:eastAsia="zh-CN"/>
        </w:rPr>
        <w:t>7.14.3.1</w:t>
      </w:r>
    </w:p>
    <w:p w14:paraId="185D1CC5">
      <w:pPr>
        <w:tabs>
          <w:tab w:val="left" w:pos="2160"/>
        </w:tabs>
        <w:rPr>
          <w:rFonts w:hint="default" w:ascii="Arial" w:hAnsi="Arial" w:eastAsia="宋体" w:cs="Arial"/>
          <w:b/>
          <w:sz w:val="24"/>
          <w:szCs w:val="24"/>
          <w:lang w:val="en-US" w:eastAsia="zh-CN"/>
        </w:rPr>
      </w:pPr>
      <w:bookmarkStart w:id="4" w:name="OLE_LINK9"/>
      <w:r>
        <w:rPr>
          <w:rFonts w:ascii="Arial" w:hAnsi="Arial" w:cs="Arial"/>
          <w:b/>
          <w:sz w:val="24"/>
          <w:szCs w:val="24"/>
        </w:rPr>
        <w:t>Source:</w:t>
      </w:r>
      <w:r>
        <w:rPr>
          <w:rFonts w:ascii="Arial" w:hAnsi="Arial" w:cs="Arial"/>
          <w:b/>
          <w:sz w:val="24"/>
          <w:szCs w:val="24"/>
        </w:rPr>
        <w:tab/>
      </w:r>
      <w:bookmarkStart w:id="5" w:name="OLE_LINK12"/>
      <w:r>
        <w:rPr>
          <w:rFonts w:hint="eastAsia" w:ascii="Arial" w:hAnsi="Arial" w:cs="Arial"/>
          <w:b/>
          <w:sz w:val="24"/>
          <w:szCs w:val="24"/>
        </w:rPr>
        <w:t>CAICT</w:t>
      </w:r>
      <w:bookmarkEnd w:id="5"/>
    </w:p>
    <w:bookmarkEnd w:id="4"/>
    <w:p w14:paraId="698D2C71">
      <w:pPr>
        <w:tabs>
          <w:tab w:val="left" w:pos="2160"/>
        </w:tabs>
        <w:rPr>
          <w:rFonts w:ascii="Arial" w:hAnsi="Arial" w:cs="Arial"/>
          <w:b/>
          <w:szCs w:val="24"/>
          <w:highlight w:val="yellow"/>
          <w:lang w:val="en-US"/>
        </w:rPr>
      </w:pPr>
      <w:r>
        <w:rPr>
          <w:rFonts w:ascii="Arial" w:hAnsi="Arial" w:cs="Arial"/>
          <w:b/>
          <w:sz w:val="24"/>
          <w:szCs w:val="24"/>
        </w:rPr>
        <w:t>Title:</w:t>
      </w:r>
      <w:r>
        <w:rPr>
          <w:rFonts w:ascii="Arial" w:hAnsi="Arial" w:cs="Arial"/>
          <w:b/>
          <w:sz w:val="24"/>
          <w:szCs w:val="24"/>
        </w:rPr>
        <w:tab/>
      </w:r>
      <w:bookmarkStart w:id="6" w:name="OLE_LINK8"/>
      <w:r>
        <w:rPr>
          <w:rFonts w:hint="eastAsia" w:ascii="Arial" w:hAnsi="Arial" w:eastAsia="宋体" w:cs="Arial"/>
          <w:b/>
          <w:sz w:val="24"/>
          <w:szCs w:val="24"/>
          <w:highlight w:val="none"/>
          <w:lang w:val="en-US" w:eastAsia="zh-CN"/>
        </w:rPr>
        <w:t>Discussion o</w:t>
      </w:r>
      <w:r>
        <w:rPr>
          <w:rFonts w:ascii="Arial" w:hAnsi="Arial" w:cs="Arial"/>
          <w:b/>
          <w:sz w:val="24"/>
          <w:szCs w:val="24"/>
          <w:highlight w:val="none"/>
        </w:rPr>
        <w:t xml:space="preserve">n </w:t>
      </w:r>
      <w:r>
        <w:rPr>
          <w:rFonts w:hint="eastAsia" w:ascii="Arial" w:hAnsi="Arial" w:eastAsia="宋体" w:cs="Arial"/>
          <w:b/>
          <w:sz w:val="24"/>
          <w:szCs w:val="24"/>
          <w:highlight w:val="none"/>
          <w:lang w:val="en-US" w:eastAsia="zh-CN"/>
        </w:rPr>
        <w:t xml:space="preserve">TRP TRS requirements </w:t>
      </w:r>
    </w:p>
    <w:bookmarkEnd w:id="6"/>
    <w:p w14:paraId="11B7221F">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hint="eastAsia" w:ascii="Arial" w:hAnsi="Arial" w:cs="Arial"/>
          <w:b/>
          <w:sz w:val="24"/>
          <w:szCs w:val="24"/>
        </w:rPr>
        <w:t>Approval</w:t>
      </w:r>
    </w:p>
    <w:p w14:paraId="4CE3F22E">
      <w:pPr>
        <w:pStyle w:val="2"/>
      </w:pPr>
      <w:r>
        <w:t>1</w:t>
      </w:r>
      <w:r>
        <w:tab/>
      </w:r>
      <w:r>
        <w:t>Introduction</w:t>
      </w:r>
      <w:bookmarkStart w:id="7" w:name="OLE_LINK15"/>
      <w:bookmarkStart w:id="8" w:name="OLE_LINK4"/>
    </w:p>
    <w:p w14:paraId="02D9B6B3">
      <w:pPr>
        <w:jc w:val="both"/>
        <w:rPr>
          <w:rFonts w:eastAsiaTheme="minorEastAsia"/>
          <w:highlight w:val="none"/>
          <w:lang w:val="en-US" w:eastAsia="zh-CN"/>
        </w:rPr>
      </w:pPr>
      <w:r>
        <w:rPr>
          <w:rFonts w:eastAsiaTheme="minorEastAsia"/>
          <w:highlight w:val="none"/>
          <w:lang w:eastAsia="zh-CN"/>
        </w:rPr>
        <w:t>In this contribution, we provide our</w:t>
      </w:r>
      <w:r>
        <w:rPr>
          <w:rFonts w:hint="eastAsia" w:eastAsiaTheme="minorEastAsia"/>
          <w:highlight w:val="none"/>
          <w:lang w:val="en-US" w:eastAsia="zh-CN"/>
        </w:rPr>
        <w:t xml:space="preserve"> </w:t>
      </w:r>
      <w:r>
        <w:rPr>
          <w:rFonts w:eastAsiaTheme="minorEastAsia"/>
          <w:highlight w:val="none"/>
          <w:lang w:eastAsia="zh-CN"/>
        </w:rPr>
        <w:t>views on Rel-1</w:t>
      </w:r>
      <w:r>
        <w:rPr>
          <w:rFonts w:hint="eastAsia" w:eastAsiaTheme="minorEastAsia"/>
          <w:highlight w:val="none"/>
          <w:lang w:val="en-US" w:eastAsia="zh-CN"/>
        </w:rPr>
        <w:t>9</w:t>
      </w:r>
      <w:r>
        <w:rPr>
          <w:rFonts w:eastAsiaTheme="minorEastAsia"/>
          <w:highlight w:val="none"/>
          <w:lang w:eastAsia="zh-CN"/>
        </w:rPr>
        <w:t xml:space="preserve"> </w:t>
      </w:r>
      <w:r>
        <w:rPr>
          <w:rFonts w:hint="eastAsia" w:eastAsiaTheme="minorEastAsia"/>
          <w:highlight w:val="none"/>
          <w:lang w:val="en-US" w:eastAsia="zh-CN"/>
        </w:rPr>
        <w:t>TRP TRS requirements</w:t>
      </w:r>
      <w:r>
        <w:rPr>
          <w:rFonts w:eastAsiaTheme="minorEastAsia"/>
          <w:highlight w:val="none"/>
          <w:lang w:eastAsia="zh-CN"/>
        </w:rPr>
        <w:t>.</w:t>
      </w:r>
      <w:bookmarkEnd w:id="7"/>
      <w:bookmarkEnd w:id="8"/>
    </w:p>
    <w:p w14:paraId="3C04DC75">
      <w:pPr>
        <w:pStyle w:val="2"/>
        <w:jc w:val="both"/>
        <w:rPr>
          <w:rFonts w:eastAsia="宋体"/>
          <w:lang w:eastAsia="zh-CN"/>
        </w:rPr>
      </w:pPr>
      <w:r>
        <w:rPr>
          <w:lang w:eastAsia="zh-CN"/>
        </w:rPr>
        <w:t>2</w:t>
      </w:r>
      <w:r>
        <w:rPr>
          <w:lang w:eastAsia="zh-CN"/>
        </w:rPr>
        <w:tab/>
      </w:r>
      <w:r>
        <w:rPr>
          <w:rFonts w:eastAsia="宋体"/>
          <w:lang w:eastAsia="zh-CN"/>
        </w:rPr>
        <w:t>Discussion</w:t>
      </w:r>
      <w:bookmarkStart w:id="9" w:name="OLE_LINK3"/>
    </w:p>
    <w:p w14:paraId="4AA708A4">
      <w:pPr>
        <w:pStyle w:val="3"/>
        <w:rPr>
          <w:rFonts w:hint="eastAsia" w:eastAsiaTheme="minorEastAsia"/>
          <w:b w:val="0"/>
          <w:bCs/>
          <w:lang w:val="en-US" w:eastAsia="zh-CN"/>
        </w:rPr>
      </w:pPr>
      <w:r>
        <w:rPr>
          <w:rFonts w:ascii="Arial" w:hAnsi="Arial" w:cs="Arial"/>
          <w:b w:val="0"/>
          <w:bCs w:val="0"/>
          <w:lang w:val="en-US" w:eastAsia="zh-CN"/>
        </w:rPr>
        <w:t xml:space="preserve">2.1 </w:t>
      </w:r>
      <w:r>
        <w:rPr>
          <w:rFonts w:hint="eastAsia" w:ascii="Arial" w:hAnsi="Arial" w:cs="Arial"/>
          <w:b w:val="0"/>
          <w:bCs w:val="0"/>
          <w:lang w:val="en-US" w:eastAsia="zh-CN"/>
        </w:rPr>
        <w:t>2Tx lab alignment activity</w:t>
      </w:r>
    </w:p>
    <w:p w14:paraId="59263FEB">
      <w:pPr>
        <w:widowControl w:val="0"/>
        <w:overflowPunct/>
        <w:autoSpaceDE/>
        <w:autoSpaceDN/>
        <w:adjustRightInd/>
        <w:spacing w:before="156" w:beforeLines="50" w:after="156" w:afterLines="50"/>
        <w:jc w:val="both"/>
        <w:textAlignment w:val="auto"/>
      </w:pPr>
      <w:r>
        <w:rPr>
          <w:rFonts w:hint="eastAsia" w:eastAsiaTheme="minorEastAsia"/>
          <w:b w:val="0"/>
          <w:bCs/>
          <w:lang w:val="en-US" w:eastAsia="zh-CN"/>
        </w:rPr>
        <w:t xml:space="preserve">According to Work Plan for R19 OTA WI [1], the </w:t>
      </w:r>
      <w:r>
        <w:rPr>
          <w:rFonts w:hint="default" w:eastAsiaTheme="minorEastAsia"/>
          <w:b w:val="0"/>
          <w:bCs/>
          <w:lang w:val="en-US" w:eastAsia="zh-CN"/>
        </w:rPr>
        <w:t>2Tx lab alignment activity</w:t>
      </w:r>
      <w:r>
        <w:rPr>
          <w:rFonts w:hint="eastAsia" w:eastAsiaTheme="minorEastAsia"/>
          <w:b w:val="0"/>
          <w:bCs/>
          <w:lang w:val="en-US" w:eastAsia="zh-CN"/>
        </w:rPr>
        <w:t xml:space="preserve"> </w:t>
      </w:r>
      <w:r>
        <w:rPr>
          <w:rFonts w:hint="default" w:eastAsiaTheme="minorEastAsia"/>
          <w:b w:val="0"/>
          <w:bCs/>
          <w:lang w:val="en-US" w:eastAsia="zh-CN"/>
        </w:rPr>
        <w:t>for 2Tx non-coherent UE</w:t>
      </w:r>
      <w:r>
        <w:rPr>
          <w:rFonts w:hint="eastAsia" w:eastAsiaTheme="minorEastAsia"/>
          <w:b w:val="0"/>
          <w:bCs/>
          <w:lang w:val="en-US" w:eastAsia="zh-CN"/>
        </w:rPr>
        <w:t xml:space="preserve"> </w:t>
      </w:r>
      <w:r>
        <w:rPr>
          <w:rFonts w:hint="default" w:eastAsiaTheme="minorEastAsia"/>
          <w:b w:val="0"/>
          <w:bCs/>
          <w:lang w:val="en-US" w:eastAsia="zh-CN"/>
        </w:rPr>
        <w:t>was originally targeted for c</w:t>
      </w:r>
      <w:r>
        <w:rPr>
          <w:rFonts w:hint="eastAsia" w:eastAsiaTheme="minorEastAsia"/>
          <w:b w:val="0"/>
          <w:bCs/>
          <w:lang w:val="en-US" w:eastAsia="zh-CN"/>
        </w:rPr>
        <w:t>ompletion</w:t>
      </w:r>
      <w:r>
        <w:rPr>
          <w:rFonts w:hint="default" w:eastAsiaTheme="minorEastAsia"/>
          <w:b w:val="0"/>
          <w:bCs/>
          <w:lang w:val="en-US" w:eastAsia="zh-CN"/>
        </w:rPr>
        <w:t xml:space="preserve"> in this meeting</w:t>
      </w:r>
      <w:r>
        <w:rPr>
          <w:rFonts w:hint="eastAsia" w:eastAsiaTheme="minorEastAsia"/>
          <w:b w:val="0"/>
          <w:bCs/>
          <w:lang w:val="en-US" w:eastAsia="zh-CN"/>
        </w:rPr>
        <w:t xml:space="preserve">, with subsequent measurement campaign and requirements specifications to commence in the May meeting. </w:t>
      </w:r>
    </w:p>
    <w:p w14:paraId="32A27AC8">
      <w:pPr>
        <w:widowControl w:val="0"/>
        <w:overflowPunct/>
        <w:autoSpaceDE/>
        <w:autoSpaceDN/>
        <w:adjustRightInd/>
        <w:spacing w:before="156" w:beforeLines="50" w:after="156" w:afterLines="50"/>
        <w:jc w:val="both"/>
        <w:textAlignment w:val="auto"/>
        <w:rPr>
          <w:rFonts w:hint="eastAsia" w:eastAsiaTheme="minorEastAsia"/>
          <w:b w:val="0"/>
          <w:bCs/>
          <w:lang w:val="en-US" w:eastAsia="zh-CN"/>
        </w:rPr>
      </w:pPr>
      <w:r>
        <w:drawing>
          <wp:inline distT="0" distB="0" distL="114300" distR="114300">
            <wp:extent cx="5927725" cy="255841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rcRect t="2161"/>
                    <a:stretch>
                      <a:fillRect/>
                    </a:stretch>
                  </pic:blipFill>
                  <pic:spPr>
                    <a:xfrm>
                      <a:off x="0" y="0"/>
                      <a:ext cx="5927725" cy="2558415"/>
                    </a:xfrm>
                    <a:prstGeom prst="rect">
                      <a:avLst/>
                    </a:prstGeom>
                    <a:noFill/>
                    <a:ln>
                      <a:noFill/>
                    </a:ln>
                  </pic:spPr>
                </pic:pic>
              </a:graphicData>
            </a:graphic>
          </wp:inline>
        </w:drawing>
      </w:r>
    </w:p>
    <w:p w14:paraId="6A32E7CE">
      <w:pPr>
        <w:widowControl w:val="0"/>
        <w:overflowPunct/>
        <w:autoSpaceDE/>
        <w:autoSpaceDN/>
        <w:adjustRightInd/>
        <w:spacing w:before="156" w:beforeLines="50" w:after="156" w:afterLines="50"/>
        <w:jc w:val="both"/>
        <w:textAlignment w:val="auto"/>
        <w:rPr>
          <w:rFonts w:hint="eastAsia" w:eastAsiaTheme="minorEastAsia"/>
          <w:b w:val="0"/>
          <w:bCs/>
          <w:lang w:val="en-US" w:eastAsia="zh-CN"/>
        </w:rPr>
      </w:pPr>
      <w:r>
        <w:rPr>
          <w:rFonts w:hint="eastAsia" w:eastAsiaTheme="minorEastAsia"/>
          <w:b w:val="0"/>
          <w:bCs/>
          <w:lang w:val="en-US" w:eastAsia="zh-CN"/>
        </w:rPr>
        <w:t>While RAN4 has planned two LADs for this activity [2], notable progress divergence exists between n41 and n78 bands.</w:t>
      </w:r>
    </w:p>
    <w:p w14:paraId="49DA6CF2">
      <w:pPr>
        <w:widowControl w:val="0"/>
        <w:numPr>
          <w:ilvl w:val="0"/>
          <w:numId w:val="1"/>
        </w:numPr>
        <w:overflowPunct/>
        <w:autoSpaceDE/>
        <w:autoSpaceDN/>
        <w:adjustRightInd/>
        <w:spacing w:before="156" w:beforeLines="50" w:after="156" w:afterLines="50"/>
        <w:ind w:left="420" w:leftChars="0" w:hanging="420" w:firstLineChars="0"/>
        <w:jc w:val="both"/>
        <w:textAlignment w:val="auto"/>
        <w:rPr>
          <w:rFonts w:hint="default" w:eastAsiaTheme="minorEastAsia"/>
          <w:b w:val="0"/>
          <w:bCs/>
          <w:lang w:val="en-US" w:eastAsia="zh-CN"/>
        </w:rPr>
      </w:pPr>
      <w:r>
        <w:rPr>
          <w:rFonts w:hint="eastAsia" w:eastAsiaTheme="minorEastAsia"/>
          <w:b w:val="0"/>
          <w:bCs/>
          <w:lang w:val="en-US" w:eastAsia="zh-CN"/>
        </w:rPr>
        <w:t>N41: LAD5 supporting n41 band achieved test readiness several meetings before, CAICT test lab has completed testing of LAD5 two meetings ago. The current progress for other test labs for this LAD requires rapporteur-level confirmation and coordination.</w:t>
      </w:r>
    </w:p>
    <w:p w14:paraId="2D40D6E5">
      <w:pPr>
        <w:widowControl w:val="0"/>
        <w:numPr>
          <w:ilvl w:val="0"/>
          <w:numId w:val="1"/>
        </w:numPr>
        <w:overflowPunct/>
        <w:autoSpaceDE/>
        <w:autoSpaceDN/>
        <w:adjustRightInd/>
        <w:spacing w:before="156" w:beforeLines="50" w:after="156" w:afterLines="50"/>
        <w:ind w:left="420" w:leftChars="0" w:hanging="420" w:firstLineChars="0"/>
        <w:jc w:val="both"/>
        <w:textAlignment w:val="auto"/>
        <w:rPr>
          <w:rFonts w:hint="default" w:eastAsiaTheme="minorEastAsia"/>
          <w:b w:val="0"/>
          <w:bCs/>
          <w:lang w:val="en-US" w:eastAsia="zh-CN"/>
        </w:rPr>
      </w:pPr>
      <w:r>
        <w:rPr>
          <w:rFonts w:hint="eastAsia" w:eastAsiaTheme="minorEastAsia"/>
          <w:b w:val="0"/>
          <w:bCs/>
          <w:lang w:val="en-US" w:eastAsia="zh-CN"/>
        </w:rPr>
        <w:t>N78: Due to various issues such as changes in device providers, device connection and testing configurations, the alignment activity for the n78 frequency band has not been performed in volunteer labs, and the overall progress is behind schedule.</w:t>
      </w:r>
    </w:p>
    <w:tbl>
      <w:tblPr>
        <w:tblStyle w:val="43"/>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131"/>
        <w:gridCol w:w="1560"/>
        <w:gridCol w:w="1549"/>
        <w:gridCol w:w="1852"/>
      </w:tblGrid>
      <w:tr w14:paraId="6902C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9077" w:type="dxa"/>
            <w:gridSpan w:val="5"/>
          </w:tcPr>
          <w:p w14:paraId="045ED29D">
            <w:pPr>
              <w:keepNext/>
              <w:keepLines/>
              <w:jc w:val="center"/>
              <w:rPr>
                <w:rFonts w:ascii="Arial" w:hAnsi="Arial" w:eastAsiaTheme="minorEastAsia"/>
                <w:b/>
                <w:sz w:val="16"/>
                <w:szCs w:val="22"/>
                <w:lang w:eastAsia="zh-CN"/>
              </w:rPr>
            </w:pPr>
            <w:r>
              <w:rPr>
                <w:rFonts w:ascii="Arial" w:hAnsi="Arial"/>
                <w:b/>
                <w:sz w:val="16"/>
                <w:szCs w:val="22"/>
              </w:rPr>
              <w:t>Rel-1</w:t>
            </w:r>
            <w:r>
              <w:rPr>
                <w:rFonts w:hint="eastAsia" w:ascii="Arial" w:hAnsi="Arial" w:eastAsia="等线"/>
                <w:b/>
                <w:sz w:val="16"/>
                <w:szCs w:val="22"/>
                <w:lang w:eastAsia="zh-CN"/>
              </w:rPr>
              <w:t>9</w:t>
            </w:r>
            <w:r>
              <w:rPr>
                <w:rFonts w:ascii="Arial" w:hAnsi="Arial"/>
                <w:b/>
                <w:sz w:val="16"/>
                <w:szCs w:val="22"/>
              </w:rPr>
              <w:t xml:space="preserve"> </w:t>
            </w:r>
            <w:r>
              <w:rPr>
                <w:rFonts w:hint="eastAsia" w:ascii="Arial" w:hAnsi="Arial" w:eastAsia="等线"/>
                <w:b/>
                <w:sz w:val="16"/>
                <w:szCs w:val="22"/>
                <w:lang w:eastAsia="zh-CN"/>
              </w:rPr>
              <w:t xml:space="preserve">2Tx </w:t>
            </w:r>
            <w:r>
              <w:rPr>
                <w:rFonts w:ascii="Arial" w:hAnsi="Arial"/>
                <w:b/>
                <w:sz w:val="16"/>
                <w:szCs w:val="22"/>
              </w:rPr>
              <w:t>Lab Alignment Device</w:t>
            </w:r>
            <w:r>
              <w:rPr>
                <w:rFonts w:hint="eastAsia" w:ascii="Arial" w:hAnsi="Arial"/>
                <w:b/>
                <w:sz w:val="16"/>
                <w:szCs w:val="22"/>
                <w:lang w:eastAsia="zh-CN"/>
              </w:rPr>
              <w:t>s</w:t>
            </w:r>
            <w:r>
              <w:rPr>
                <w:rFonts w:ascii="Arial" w:hAnsi="Arial"/>
                <w:b/>
                <w:sz w:val="16"/>
                <w:szCs w:val="22"/>
              </w:rPr>
              <w:t xml:space="preserve"> (LAD</w:t>
            </w:r>
            <w:r>
              <w:rPr>
                <w:rFonts w:hint="eastAsia" w:ascii="Arial" w:hAnsi="Arial"/>
                <w:b/>
                <w:sz w:val="16"/>
                <w:szCs w:val="22"/>
                <w:lang w:eastAsia="zh-CN"/>
              </w:rPr>
              <w:t>s</w:t>
            </w:r>
            <w:r>
              <w:rPr>
                <w:rFonts w:ascii="Arial" w:hAnsi="Arial"/>
                <w:b/>
                <w:sz w:val="16"/>
                <w:szCs w:val="22"/>
              </w:rPr>
              <w:t>)</w:t>
            </w:r>
            <w:r>
              <w:rPr>
                <w:rFonts w:hint="eastAsia" w:ascii="Arial" w:hAnsi="Arial" w:eastAsiaTheme="minorEastAsia"/>
                <w:b/>
                <w:sz w:val="16"/>
                <w:szCs w:val="22"/>
                <w:lang w:eastAsia="zh-CN"/>
              </w:rPr>
              <w:t xml:space="preserve"> for non-coherent UL MIMO</w:t>
            </w:r>
          </w:p>
        </w:tc>
      </w:tr>
      <w:tr w14:paraId="2434E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1985" w:type="dxa"/>
            <w:vAlign w:val="center"/>
          </w:tcPr>
          <w:p w14:paraId="5AFA118B">
            <w:pPr>
              <w:keepNext/>
              <w:keepLines/>
              <w:jc w:val="center"/>
              <w:rPr>
                <w:rFonts w:ascii="Arial" w:hAnsi="Arial"/>
                <w:b/>
                <w:sz w:val="16"/>
                <w:szCs w:val="22"/>
                <w:lang w:eastAsia="zh-CN"/>
              </w:rPr>
            </w:pPr>
            <w:r>
              <w:rPr>
                <w:rFonts w:hint="eastAsia" w:ascii="Arial" w:hAnsi="Arial"/>
                <w:b/>
                <w:sz w:val="16"/>
                <w:szCs w:val="22"/>
                <w:lang w:eastAsia="zh-CN"/>
              </w:rPr>
              <w:t>DUT</w:t>
            </w:r>
          </w:p>
        </w:tc>
        <w:tc>
          <w:tcPr>
            <w:tcW w:w="2131" w:type="dxa"/>
            <w:vAlign w:val="center"/>
          </w:tcPr>
          <w:p w14:paraId="08F4C1B3">
            <w:pPr>
              <w:keepNext/>
              <w:keepLines/>
              <w:jc w:val="center"/>
              <w:rPr>
                <w:rFonts w:ascii="Arial" w:hAnsi="Arial" w:eastAsiaTheme="minorEastAsia"/>
                <w:b/>
                <w:sz w:val="16"/>
                <w:szCs w:val="22"/>
                <w:lang w:eastAsia="zh-CN"/>
              </w:rPr>
            </w:pPr>
            <w:r>
              <w:rPr>
                <w:rFonts w:hint="eastAsia" w:ascii="Arial" w:hAnsi="Arial" w:eastAsiaTheme="minorEastAsia"/>
                <w:b/>
                <w:sz w:val="16"/>
                <w:szCs w:val="22"/>
                <w:lang w:eastAsia="zh-CN"/>
              </w:rPr>
              <w:t xml:space="preserve">UL-MIMO </w:t>
            </w:r>
            <w:r>
              <w:rPr>
                <w:rFonts w:ascii="Arial" w:hAnsi="Arial" w:eastAsiaTheme="minorEastAsia"/>
                <w:b/>
                <w:sz w:val="16"/>
                <w:szCs w:val="22"/>
                <w:lang w:eastAsia="zh-CN"/>
              </w:rPr>
              <w:t>Configuration</w:t>
            </w:r>
          </w:p>
        </w:tc>
        <w:tc>
          <w:tcPr>
            <w:tcW w:w="1560" w:type="dxa"/>
            <w:vAlign w:val="center"/>
          </w:tcPr>
          <w:p w14:paraId="72D0C031">
            <w:pPr>
              <w:keepNext/>
              <w:keepLines/>
              <w:jc w:val="center"/>
              <w:rPr>
                <w:rFonts w:ascii="Arial" w:hAnsi="Arial"/>
                <w:b/>
                <w:bCs/>
                <w:sz w:val="16"/>
                <w:szCs w:val="22"/>
              </w:rPr>
            </w:pPr>
            <w:r>
              <w:rPr>
                <w:rFonts w:hint="eastAsia" w:ascii="Arial" w:hAnsi="Arial"/>
                <w:b/>
                <w:sz w:val="16"/>
                <w:szCs w:val="22"/>
                <w:lang w:eastAsia="zh-CN"/>
              </w:rPr>
              <w:t>Provider/Owner</w:t>
            </w:r>
          </w:p>
        </w:tc>
        <w:tc>
          <w:tcPr>
            <w:tcW w:w="1549" w:type="dxa"/>
            <w:vAlign w:val="center"/>
          </w:tcPr>
          <w:p w14:paraId="00475325">
            <w:pPr>
              <w:keepNext/>
              <w:keepLines/>
              <w:jc w:val="center"/>
              <w:rPr>
                <w:rFonts w:ascii="Arial" w:hAnsi="Arial"/>
                <w:b/>
                <w:bCs/>
                <w:sz w:val="16"/>
                <w:szCs w:val="22"/>
              </w:rPr>
            </w:pPr>
            <w:r>
              <w:rPr>
                <w:rFonts w:ascii="Arial" w:hAnsi="Arial"/>
                <w:b/>
                <w:bCs/>
                <w:sz w:val="16"/>
                <w:szCs w:val="22"/>
              </w:rPr>
              <w:t>Contact</w:t>
            </w:r>
          </w:p>
        </w:tc>
        <w:tc>
          <w:tcPr>
            <w:tcW w:w="1852" w:type="dxa"/>
          </w:tcPr>
          <w:p w14:paraId="430F27E1">
            <w:pPr>
              <w:keepNext/>
              <w:keepLines/>
              <w:jc w:val="center"/>
              <w:rPr>
                <w:rFonts w:ascii="Arial" w:hAnsi="Arial" w:eastAsiaTheme="minorEastAsia"/>
                <w:b/>
                <w:bCs/>
                <w:sz w:val="16"/>
                <w:szCs w:val="22"/>
                <w:lang w:eastAsia="zh-CN"/>
              </w:rPr>
            </w:pPr>
            <w:r>
              <w:rPr>
                <w:rFonts w:hint="eastAsia" w:ascii="Arial" w:hAnsi="Arial" w:eastAsiaTheme="minorEastAsia"/>
                <w:b/>
                <w:bCs/>
                <w:sz w:val="16"/>
                <w:szCs w:val="22"/>
                <w:lang w:eastAsia="zh-CN"/>
              </w:rPr>
              <w:t>issue</w:t>
            </w:r>
          </w:p>
        </w:tc>
      </w:tr>
      <w:tr w14:paraId="3FD64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trPr>
        <w:tc>
          <w:tcPr>
            <w:tcW w:w="1985" w:type="dxa"/>
            <w:shd w:val="clear" w:color="auto" w:fill="auto"/>
          </w:tcPr>
          <w:p w14:paraId="3DEEBB91">
            <w:pPr>
              <w:keepNext/>
              <w:keepLines/>
              <w:rPr>
                <w:rFonts w:ascii="Arial" w:hAnsi="Arial"/>
                <w:sz w:val="16"/>
                <w:szCs w:val="22"/>
              </w:rPr>
            </w:pPr>
            <w:r>
              <w:rPr>
                <w:rFonts w:ascii="Arial" w:hAnsi="Arial"/>
                <w:sz w:val="16"/>
                <w:szCs w:val="22"/>
              </w:rPr>
              <w:t>LAD</w:t>
            </w:r>
            <w:r>
              <w:rPr>
                <w:rFonts w:hint="eastAsia" w:ascii="Arial" w:hAnsi="Arial" w:eastAsia="等线"/>
                <w:sz w:val="16"/>
                <w:szCs w:val="22"/>
                <w:lang w:eastAsia="zh-CN"/>
              </w:rPr>
              <w:t>5</w:t>
            </w:r>
            <w:r>
              <w:rPr>
                <w:rFonts w:ascii="Arial" w:hAnsi="Arial"/>
                <w:sz w:val="16"/>
                <w:szCs w:val="22"/>
              </w:rPr>
              <w:t xml:space="preserve"> (new device for Rel-1</w:t>
            </w:r>
            <w:r>
              <w:rPr>
                <w:rFonts w:hint="eastAsia" w:ascii="Arial" w:hAnsi="Arial" w:eastAsia="等线"/>
                <w:sz w:val="16"/>
                <w:szCs w:val="22"/>
                <w:lang w:eastAsia="zh-CN"/>
              </w:rPr>
              <w:t>9 2Tx</w:t>
            </w:r>
            <w:r>
              <w:rPr>
                <w:rFonts w:ascii="Arial" w:hAnsi="Arial"/>
                <w:sz w:val="16"/>
                <w:szCs w:val="22"/>
              </w:rPr>
              <w:t>)</w:t>
            </w:r>
          </w:p>
        </w:tc>
        <w:tc>
          <w:tcPr>
            <w:tcW w:w="2131" w:type="dxa"/>
            <w:shd w:val="clear" w:color="auto" w:fill="auto"/>
          </w:tcPr>
          <w:p w14:paraId="118047DF">
            <w:pPr>
              <w:keepNext/>
              <w:keepLines/>
              <w:overflowPunct w:val="0"/>
              <w:autoSpaceDE w:val="0"/>
              <w:autoSpaceDN w:val="0"/>
              <w:adjustRightInd w:val="0"/>
              <w:jc w:val="center"/>
              <w:textAlignment w:val="baseline"/>
              <w:rPr>
                <w:rFonts w:ascii="Arial" w:hAnsi="Arial" w:eastAsiaTheme="minorEastAsia"/>
                <w:sz w:val="16"/>
                <w:szCs w:val="22"/>
                <w:lang w:eastAsia="zh-CN"/>
              </w:rPr>
            </w:pPr>
            <w:r>
              <w:rPr>
                <w:rFonts w:hint="eastAsia" w:ascii="Arial" w:hAnsi="Arial" w:eastAsiaTheme="minorEastAsia"/>
                <w:sz w:val="16"/>
                <w:szCs w:val="22"/>
                <w:lang w:eastAsia="zh-CN"/>
              </w:rPr>
              <w:t>TPMI index 2</w:t>
            </w:r>
          </w:p>
        </w:tc>
        <w:tc>
          <w:tcPr>
            <w:tcW w:w="1560" w:type="dxa"/>
          </w:tcPr>
          <w:p w14:paraId="16E03CFF">
            <w:pPr>
              <w:keepNext/>
              <w:keepLines/>
              <w:rPr>
                <w:rFonts w:ascii="Arial" w:hAnsi="Arial"/>
                <w:sz w:val="16"/>
                <w:szCs w:val="22"/>
              </w:rPr>
            </w:pPr>
            <w:r>
              <w:rPr>
                <w:rFonts w:ascii="Arial" w:hAnsi="Arial"/>
                <w:sz w:val="16"/>
                <w:szCs w:val="22"/>
                <w:lang w:eastAsia="en-GB"/>
              </w:rPr>
              <w:t>vivo</w:t>
            </w:r>
          </w:p>
        </w:tc>
        <w:tc>
          <w:tcPr>
            <w:tcW w:w="1549" w:type="dxa"/>
            <w:shd w:val="clear" w:color="auto" w:fill="auto"/>
          </w:tcPr>
          <w:p w14:paraId="5C21267A">
            <w:pPr>
              <w:keepNext/>
              <w:keepLines/>
              <w:rPr>
                <w:rFonts w:ascii="Arial" w:hAnsi="Arial"/>
                <w:sz w:val="16"/>
                <w:szCs w:val="22"/>
                <w:lang w:eastAsia="zh-CN"/>
              </w:rPr>
            </w:pPr>
            <w:r>
              <w:rPr>
                <w:rFonts w:ascii="Arial" w:hAnsi="Arial"/>
                <w:sz w:val="16"/>
                <w:szCs w:val="22"/>
              </w:rPr>
              <w:t xml:space="preserve">Ruixin </w:t>
            </w:r>
            <w:r>
              <w:rPr>
                <w:rFonts w:hint="eastAsia" w:ascii="Arial" w:hAnsi="Arial"/>
                <w:sz w:val="16"/>
                <w:szCs w:val="22"/>
                <w:lang w:eastAsia="zh-CN"/>
              </w:rPr>
              <w:t>Wang</w:t>
            </w:r>
          </w:p>
          <w:p w14:paraId="0AF9303C">
            <w:pPr>
              <w:keepNext/>
              <w:keepLines/>
              <w:rPr>
                <w:rFonts w:ascii="Arial" w:hAnsi="Arial"/>
                <w:sz w:val="16"/>
                <w:szCs w:val="22"/>
              </w:rPr>
            </w:pPr>
            <w:r>
              <w:rPr>
                <w:rFonts w:ascii="Arial" w:hAnsi="Arial"/>
                <w:sz w:val="16"/>
                <w:szCs w:val="22"/>
              </w:rPr>
              <w:t>ruixin. wang@vivo.com</w:t>
            </w:r>
          </w:p>
        </w:tc>
        <w:tc>
          <w:tcPr>
            <w:tcW w:w="1852" w:type="dxa"/>
            <w:shd w:val="clear" w:color="auto" w:fill="auto"/>
          </w:tcPr>
          <w:p w14:paraId="5C77CAAF">
            <w:pPr>
              <w:keepNext/>
              <w:keepLines/>
              <w:rPr>
                <w:rFonts w:ascii="Arial" w:hAnsi="Arial" w:eastAsiaTheme="minorEastAsia"/>
                <w:sz w:val="16"/>
                <w:szCs w:val="22"/>
                <w:lang w:eastAsia="zh-CN"/>
              </w:rPr>
            </w:pPr>
            <w:r>
              <w:rPr>
                <w:rFonts w:ascii="Arial" w:hAnsi="Arial" w:eastAsiaTheme="minorEastAsia"/>
                <w:sz w:val="16"/>
                <w:szCs w:val="22"/>
                <w:lang w:eastAsia="zh-CN"/>
              </w:rPr>
              <w:t>O</w:t>
            </w:r>
            <w:r>
              <w:rPr>
                <w:rFonts w:hint="eastAsia" w:ascii="Arial" w:hAnsi="Arial" w:eastAsiaTheme="minorEastAsia"/>
                <w:sz w:val="16"/>
                <w:szCs w:val="22"/>
                <w:lang w:eastAsia="zh-CN"/>
              </w:rPr>
              <w:t xml:space="preserve">nly support </w:t>
            </w:r>
            <w:r>
              <w:rPr>
                <w:rFonts w:ascii="Arial" w:hAnsi="Arial"/>
                <w:sz w:val="16"/>
                <w:szCs w:val="22"/>
              </w:rPr>
              <w:t>n</w:t>
            </w:r>
            <w:r>
              <w:rPr>
                <w:rFonts w:hint="eastAsia" w:ascii="Arial" w:hAnsi="Arial" w:eastAsia="等线"/>
                <w:sz w:val="16"/>
                <w:szCs w:val="22"/>
                <w:lang w:eastAsia="zh-CN"/>
              </w:rPr>
              <w:t>41.</w:t>
            </w:r>
          </w:p>
        </w:tc>
      </w:tr>
      <w:tr w14:paraId="54DAA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shd w:val="clear" w:color="auto" w:fill="auto"/>
          </w:tcPr>
          <w:p w14:paraId="539138C2">
            <w:pPr>
              <w:keepNext/>
              <w:keepLines/>
              <w:rPr>
                <w:rFonts w:ascii="Arial" w:hAnsi="Arial"/>
                <w:sz w:val="16"/>
                <w:szCs w:val="22"/>
              </w:rPr>
            </w:pPr>
            <w:r>
              <w:rPr>
                <w:rFonts w:ascii="Arial" w:hAnsi="Arial"/>
                <w:sz w:val="16"/>
                <w:szCs w:val="22"/>
              </w:rPr>
              <w:t>LAD</w:t>
            </w:r>
            <w:r>
              <w:rPr>
                <w:rFonts w:hint="eastAsia" w:ascii="Arial" w:hAnsi="Arial" w:eastAsia="等线"/>
                <w:sz w:val="16"/>
                <w:szCs w:val="22"/>
                <w:lang w:eastAsia="zh-CN"/>
              </w:rPr>
              <w:t>6</w:t>
            </w:r>
            <w:r>
              <w:rPr>
                <w:rFonts w:ascii="Arial" w:hAnsi="Arial"/>
                <w:sz w:val="16"/>
                <w:szCs w:val="22"/>
              </w:rPr>
              <w:t xml:space="preserve"> (new device for Rel-1</w:t>
            </w:r>
            <w:r>
              <w:rPr>
                <w:rFonts w:hint="eastAsia" w:ascii="Arial" w:hAnsi="Arial" w:eastAsia="等线"/>
                <w:sz w:val="16"/>
                <w:szCs w:val="22"/>
                <w:lang w:eastAsia="zh-CN"/>
              </w:rPr>
              <w:t>9 2Tx</w:t>
            </w:r>
            <w:r>
              <w:rPr>
                <w:rFonts w:ascii="Arial" w:hAnsi="Arial"/>
                <w:sz w:val="16"/>
                <w:szCs w:val="22"/>
              </w:rPr>
              <w:t>)</w:t>
            </w:r>
          </w:p>
        </w:tc>
        <w:tc>
          <w:tcPr>
            <w:tcW w:w="2131" w:type="dxa"/>
            <w:shd w:val="clear" w:color="auto" w:fill="auto"/>
          </w:tcPr>
          <w:p w14:paraId="5A29373E">
            <w:pPr>
              <w:keepNext/>
              <w:keepLines/>
              <w:overflowPunct w:val="0"/>
              <w:autoSpaceDE w:val="0"/>
              <w:autoSpaceDN w:val="0"/>
              <w:adjustRightInd w:val="0"/>
              <w:jc w:val="center"/>
              <w:textAlignment w:val="baseline"/>
              <w:rPr>
                <w:rFonts w:ascii="Arial" w:hAnsi="Arial" w:eastAsiaTheme="minorEastAsia"/>
                <w:sz w:val="16"/>
                <w:szCs w:val="22"/>
                <w:lang w:eastAsia="zh-CN"/>
              </w:rPr>
            </w:pPr>
            <w:r>
              <w:rPr>
                <w:rFonts w:hint="eastAsia" w:ascii="Arial" w:hAnsi="Arial" w:eastAsiaTheme="minorEastAsia"/>
                <w:sz w:val="16"/>
                <w:szCs w:val="22"/>
                <w:lang w:eastAsia="zh-CN"/>
              </w:rPr>
              <w:t>TPMI index 2</w:t>
            </w:r>
          </w:p>
        </w:tc>
        <w:tc>
          <w:tcPr>
            <w:tcW w:w="1560" w:type="dxa"/>
          </w:tcPr>
          <w:p w14:paraId="4F264693">
            <w:pPr>
              <w:keepNext/>
              <w:keepLines/>
              <w:rPr>
                <w:rFonts w:ascii="Arial" w:hAnsi="Arial"/>
                <w:sz w:val="16"/>
                <w:szCs w:val="22"/>
                <w:lang w:val="de-DE"/>
              </w:rPr>
            </w:pPr>
            <w:r>
              <w:rPr>
                <w:rFonts w:hint="eastAsia" w:ascii="Arial" w:hAnsi="Arial" w:eastAsiaTheme="minorEastAsia"/>
                <w:sz w:val="16"/>
                <w:szCs w:val="22"/>
                <w:lang w:eastAsia="zh-CN"/>
              </w:rPr>
              <w:t>Xiaomi</w:t>
            </w:r>
          </w:p>
        </w:tc>
        <w:tc>
          <w:tcPr>
            <w:tcW w:w="1549" w:type="dxa"/>
            <w:shd w:val="clear" w:color="auto" w:fill="auto"/>
          </w:tcPr>
          <w:p w14:paraId="75A3A00F">
            <w:pPr>
              <w:keepNext/>
              <w:keepLines/>
              <w:rPr>
                <w:rFonts w:ascii="Arial" w:hAnsi="Arial"/>
                <w:sz w:val="16"/>
                <w:szCs w:val="22"/>
                <w:lang w:val="de-DE"/>
              </w:rPr>
            </w:pPr>
          </w:p>
        </w:tc>
        <w:tc>
          <w:tcPr>
            <w:tcW w:w="1852" w:type="dxa"/>
            <w:shd w:val="clear" w:color="auto" w:fill="auto"/>
          </w:tcPr>
          <w:p w14:paraId="18ADD556">
            <w:pPr>
              <w:keepNext/>
              <w:keepLines/>
              <w:rPr>
                <w:rFonts w:ascii="Arial" w:hAnsi="Arial" w:eastAsiaTheme="minorEastAsia"/>
                <w:sz w:val="16"/>
                <w:szCs w:val="22"/>
                <w:lang w:eastAsia="zh-CN"/>
              </w:rPr>
            </w:pPr>
            <w:r>
              <w:rPr>
                <w:rFonts w:ascii="Arial" w:hAnsi="Arial"/>
                <w:sz w:val="16"/>
                <w:szCs w:val="22"/>
              </w:rPr>
              <w:t xml:space="preserve">For </w:t>
            </w:r>
            <w:r>
              <w:rPr>
                <w:rFonts w:hint="eastAsia" w:ascii="Arial" w:hAnsi="Arial" w:eastAsia="等线"/>
                <w:sz w:val="16"/>
                <w:szCs w:val="22"/>
                <w:lang w:eastAsia="zh-CN"/>
              </w:rPr>
              <w:t>n78</w:t>
            </w:r>
            <w:r>
              <w:rPr>
                <w:rFonts w:ascii="Arial" w:hAnsi="Arial"/>
                <w:sz w:val="16"/>
                <w:szCs w:val="22"/>
              </w:rPr>
              <w:t xml:space="preserve"> testing. </w:t>
            </w:r>
            <w:r>
              <w:rPr>
                <w:rFonts w:hint="eastAsia" w:ascii="Arial" w:hAnsi="Arial" w:eastAsiaTheme="minorEastAsia"/>
                <w:sz w:val="16"/>
                <w:szCs w:val="22"/>
                <w:lang w:eastAsia="zh-CN"/>
              </w:rPr>
              <w:t>Checking configuration</w:t>
            </w:r>
          </w:p>
        </w:tc>
      </w:tr>
    </w:tbl>
    <w:p w14:paraId="0AC41C46">
      <w:pPr>
        <w:widowControl w:val="0"/>
        <w:numPr>
          <w:numId w:val="0"/>
        </w:numPr>
        <w:overflowPunct/>
        <w:autoSpaceDE/>
        <w:autoSpaceDN/>
        <w:adjustRightInd/>
        <w:spacing w:before="156" w:beforeLines="50" w:after="156" w:afterLines="50"/>
        <w:ind w:leftChars="0"/>
        <w:jc w:val="both"/>
        <w:textAlignment w:val="auto"/>
        <w:rPr>
          <w:rFonts w:hint="default" w:eastAsiaTheme="minorEastAsia"/>
          <w:b w:val="0"/>
          <w:bCs/>
          <w:lang w:val="en-US" w:eastAsia="zh-CN"/>
        </w:rPr>
      </w:pPr>
      <w:r>
        <w:rPr>
          <w:rFonts w:hint="eastAsia" w:eastAsiaTheme="minorEastAsia"/>
          <w:b w:val="0"/>
          <w:bCs/>
          <w:lang w:val="en-US" w:eastAsia="zh-CN"/>
        </w:rPr>
        <w:t>If the alignment across labs cannot be confirmed, volunteer labs cannot proceed with subsequent measurement campaigns.</w:t>
      </w:r>
    </w:p>
    <w:p w14:paraId="1BA08F3A">
      <w:pPr>
        <w:widowControl w:val="0"/>
        <w:numPr>
          <w:numId w:val="0"/>
        </w:numPr>
        <w:overflowPunct/>
        <w:autoSpaceDE/>
        <w:autoSpaceDN/>
        <w:adjustRightInd/>
        <w:spacing w:before="156" w:beforeLines="50" w:after="156" w:afterLines="50"/>
        <w:ind w:leftChars="0"/>
        <w:jc w:val="both"/>
        <w:textAlignment w:val="auto"/>
        <w:rPr>
          <w:rFonts w:hint="eastAsia" w:eastAsiaTheme="minorEastAsia"/>
          <w:b/>
          <w:bCs w:val="0"/>
          <w:lang w:val="en-US" w:eastAsia="zh-CN"/>
        </w:rPr>
      </w:pPr>
      <w:r>
        <w:rPr>
          <w:rFonts w:hint="eastAsia" w:eastAsiaTheme="minorEastAsia"/>
          <w:b/>
          <w:bCs w:val="0"/>
          <w:lang w:val="en-US" w:eastAsia="zh-CN"/>
        </w:rPr>
        <w:t>Observation 1: The overall 2Tx lab alignment activity progress is behind schedule of the Work Plan for R19 OTA WI due to multiple reasons.</w:t>
      </w:r>
    </w:p>
    <w:p w14:paraId="6486F238">
      <w:pPr>
        <w:widowControl w:val="0"/>
        <w:numPr>
          <w:numId w:val="0"/>
        </w:numPr>
        <w:overflowPunct/>
        <w:autoSpaceDE/>
        <w:autoSpaceDN/>
        <w:adjustRightInd/>
        <w:spacing w:before="156" w:beforeLines="50" w:after="156" w:afterLines="50"/>
        <w:ind w:leftChars="0"/>
        <w:jc w:val="both"/>
        <w:textAlignment w:val="auto"/>
        <w:rPr>
          <w:rFonts w:hint="eastAsia" w:eastAsiaTheme="minorEastAsia"/>
          <w:b/>
          <w:bCs w:val="0"/>
          <w:lang w:val="en-US" w:eastAsia="zh-CN"/>
        </w:rPr>
      </w:pPr>
      <w:r>
        <w:rPr>
          <w:rFonts w:hint="eastAsia" w:eastAsiaTheme="minorEastAsia"/>
          <w:b/>
          <w:bCs w:val="0"/>
          <w:lang w:val="en-US" w:eastAsia="zh-CN"/>
        </w:rPr>
        <w:t>Proposal 1: Focus on completing 2Tx lab alignment on n41 first to control schedule risk. Rapporteur should coordinate with all volunteer labs to report progress on this activity.</w:t>
      </w:r>
    </w:p>
    <w:p w14:paraId="591BA7D3">
      <w:pPr>
        <w:widowControl w:val="0"/>
        <w:numPr>
          <w:numId w:val="0"/>
        </w:numPr>
        <w:overflowPunct/>
        <w:autoSpaceDE/>
        <w:autoSpaceDN/>
        <w:adjustRightInd/>
        <w:spacing w:before="156" w:beforeLines="50" w:after="156" w:afterLines="50"/>
        <w:ind w:leftChars="0"/>
        <w:jc w:val="both"/>
        <w:textAlignment w:val="auto"/>
        <w:rPr>
          <w:rFonts w:hint="eastAsia" w:eastAsiaTheme="minorEastAsia"/>
          <w:b/>
          <w:bCs w:val="0"/>
          <w:lang w:val="en-US" w:eastAsia="zh-CN"/>
        </w:rPr>
      </w:pPr>
      <w:r>
        <w:rPr>
          <w:rFonts w:hint="eastAsia" w:eastAsiaTheme="minorEastAsia"/>
          <w:b/>
          <w:bCs w:val="0"/>
          <w:lang w:val="en-US" w:eastAsia="zh-CN"/>
        </w:rPr>
        <w:t>Proposal 2: Further decide whether to remove the 2Tx lab alignment for n78 in this release based on progress in May meeting.</w:t>
      </w:r>
    </w:p>
    <w:p w14:paraId="6101A1C5">
      <w:pPr>
        <w:widowControl w:val="0"/>
        <w:numPr>
          <w:numId w:val="0"/>
        </w:numPr>
        <w:overflowPunct/>
        <w:autoSpaceDE/>
        <w:autoSpaceDN/>
        <w:adjustRightInd/>
        <w:spacing w:before="156" w:beforeLines="50" w:after="156" w:afterLines="50"/>
        <w:ind w:leftChars="0"/>
        <w:jc w:val="both"/>
        <w:textAlignment w:val="auto"/>
        <w:rPr>
          <w:rFonts w:hint="default" w:eastAsiaTheme="minorEastAsia"/>
          <w:b w:val="0"/>
          <w:bCs/>
          <w:lang w:val="en-US" w:eastAsia="zh-CN"/>
        </w:rPr>
      </w:pPr>
      <w:r>
        <w:rPr>
          <w:rFonts w:hint="default" w:eastAsiaTheme="minorEastAsia"/>
          <w:b w:val="0"/>
          <w:bCs/>
          <w:lang w:val="en-US" w:eastAsia="zh-CN"/>
        </w:rPr>
        <w:t xml:space="preserve">TRP and TRS testing for 2Tx non-coherent UEs is a relatively new test case for OEMs, </w:t>
      </w:r>
      <w:r>
        <w:rPr>
          <w:rFonts w:hint="eastAsia" w:eastAsiaTheme="minorEastAsia"/>
          <w:b w:val="0"/>
          <w:bCs/>
          <w:lang w:val="en-US" w:eastAsia="zh-CN"/>
        </w:rPr>
        <w:t xml:space="preserve">TE </w:t>
      </w:r>
      <w:r>
        <w:rPr>
          <w:rFonts w:hint="default" w:eastAsiaTheme="minorEastAsia"/>
          <w:b w:val="0"/>
          <w:bCs/>
          <w:lang w:val="en-US" w:eastAsia="zh-CN"/>
        </w:rPr>
        <w:t xml:space="preserve">vendors, and </w:t>
      </w:r>
      <w:r>
        <w:rPr>
          <w:rFonts w:hint="eastAsia" w:eastAsiaTheme="minorEastAsia"/>
          <w:b w:val="0"/>
          <w:bCs/>
          <w:lang w:val="en-US" w:eastAsia="zh-CN"/>
        </w:rPr>
        <w:t>test labs</w:t>
      </w:r>
      <w:r>
        <w:rPr>
          <w:rFonts w:hint="default" w:eastAsiaTheme="minorEastAsia"/>
          <w:b w:val="0"/>
          <w:bCs/>
          <w:lang w:val="en-US" w:eastAsia="zh-CN"/>
        </w:rPr>
        <w:t>, and may encounter various issues during practical implementation. According to the Working Procedure for Rel-19 2Tx Lab Alignment and UE Performance Measurement Campaign</w:t>
      </w:r>
      <w:r>
        <w:rPr>
          <w:rFonts w:hint="eastAsia" w:eastAsiaTheme="minorEastAsia"/>
          <w:b w:val="0"/>
          <w:bCs/>
          <w:lang w:val="en-US" w:eastAsia="zh-CN"/>
        </w:rPr>
        <w:t xml:space="preserve"> [3]</w:t>
      </w:r>
      <w:r>
        <w:rPr>
          <w:rFonts w:hint="default" w:eastAsiaTheme="minorEastAsia"/>
          <w:b w:val="0"/>
          <w:bCs/>
          <w:lang w:val="en-US" w:eastAsia="zh-CN"/>
        </w:rPr>
        <w:t xml:space="preserve">, this alignment and measurement campaign activity only requires testing and reporting TRP/TRS performance under TPMI=2 configuration, without </w:t>
      </w:r>
      <w:r>
        <w:rPr>
          <w:rFonts w:hint="eastAsia" w:eastAsiaTheme="minorEastAsia"/>
          <w:b w:val="0"/>
          <w:bCs/>
          <w:lang w:val="en-US" w:eastAsia="zh-CN"/>
        </w:rPr>
        <w:t>needing</w:t>
      </w:r>
      <w:r>
        <w:rPr>
          <w:rFonts w:hint="default" w:eastAsiaTheme="minorEastAsia"/>
          <w:b w:val="0"/>
          <w:bCs/>
          <w:lang w:val="en-US" w:eastAsia="zh-CN"/>
        </w:rPr>
        <w:t xml:space="preserve"> results from other TPMI ind</w:t>
      </w:r>
      <w:r>
        <w:rPr>
          <w:rFonts w:hint="eastAsia" w:eastAsiaTheme="minorEastAsia"/>
          <w:b w:val="0"/>
          <w:bCs/>
          <w:lang w:val="en-US" w:eastAsia="zh-CN"/>
        </w:rPr>
        <w:t>exes</w:t>
      </w:r>
      <w:r>
        <w:rPr>
          <w:rFonts w:hint="default" w:eastAsiaTheme="minorEastAsia"/>
          <w:b w:val="0"/>
          <w:bCs/>
          <w:lang w:val="en-US" w:eastAsia="zh-CN"/>
        </w:rPr>
        <w:t>. However, vendors and test lab</w:t>
      </w:r>
      <w:r>
        <w:rPr>
          <w:rFonts w:hint="eastAsia" w:eastAsiaTheme="minorEastAsia"/>
          <w:b w:val="0"/>
          <w:bCs/>
          <w:lang w:val="en-US" w:eastAsia="zh-CN"/>
        </w:rPr>
        <w:t>s</w:t>
      </w:r>
      <w:r>
        <w:rPr>
          <w:rFonts w:hint="default" w:eastAsiaTheme="minorEastAsia"/>
          <w:b w:val="0"/>
          <w:bCs/>
          <w:lang w:val="en-US" w:eastAsia="zh-CN"/>
        </w:rPr>
        <w:t xml:space="preserve"> </w:t>
      </w:r>
      <w:r>
        <w:rPr>
          <w:rFonts w:hint="eastAsia" w:eastAsiaTheme="minorEastAsia"/>
          <w:b w:val="0"/>
          <w:bCs/>
          <w:lang w:val="en-US" w:eastAsia="zh-CN"/>
        </w:rPr>
        <w:t>should</w:t>
      </w:r>
      <w:r>
        <w:rPr>
          <w:rFonts w:hint="default" w:eastAsiaTheme="minorEastAsia"/>
          <w:b w:val="0"/>
          <w:bCs/>
          <w:lang w:val="en-US" w:eastAsia="zh-CN"/>
        </w:rPr>
        <w:t xml:space="preserve"> check whether the </w:t>
      </w:r>
      <w:r>
        <w:rPr>
          <w:rFonts w:hint="eastAsia" w:eastAsiaTheme="minorEastAsia"/>
          <w:b w:val="0"/>
          <w:bCs/>
          <w:lang w:val="en-US" w:eastAsia="zh-CN"/>
        </w:rPr>
        <w:t>DUT</w:t>
      </w:r>
      <w:r>
        <w:rPr>
          <w:rFonts w:hint="default" w:eastAsiaTheme="minorEastAsia"/>
          <w:b w:val="0"/>
          <w:bCs/>
          <w:lang w:val="en-US" w:eastAsia="zh-CN"/>
        </w:rPr>
        <w:t xml:space="preserve"> is operating correctly in the intended state.</w:t>
      </w:r>
    </w:p>
    <w:p w14:paraId="76234118">
      <w:pPr>
        <w:widowControl w:val="0"/>
        <w:numPr>
          <w:numId w:val="0"/>
        </w:numPr>
        <w:overflowPunct/>
        <w:autoSpaceDE/>
        <w:autoSpaceDN/>
        <w:adjustRightInd/>
        <w:spacing w:before="156" w:beforeLines="50" w:after="156" w:afterLines="50"/>
        <w:ind w:leftChars="0"/>
        <w:jc w:val="both"/>
        <w:textAlignment w:val="auto"/>
        <w:rPr>
          <w:rFonts w:hint="default" w:eastAsiaTheme="minorEastAsia"/>
          <w:b w:val="0"/>
          <w:bCs/>
          <w:lang w:val="en-US" w:eastAsia="zh-CN"/>
        </w:rPr>
      </w:pPr>
      <w:r>
        <w:rPr>
          <w:rFonts w:hint="default" w:eastAsiaTheme="minorEastAsia"/>
          <w:b w:val="0"/>
          <w:bCs/>
          <w:lang w:val="en-US" w:eastAsia="zh-CN"/>
        </w:rPr>
        <w:t xml:space="preserve">During previous debugging efforts, we observed that when the base station emulator was correctly configured with TPMI index 2 and the UE successfully camped on the network to complete testing, the UE might not actually operate in the corresponding "1-layer 2-port" simultaneous transmission state. Specifically, the measured radiation patterns under this configuration were nearly </w:t>
      </w:r>
      <w:r>
        <w:rPr>
          <w:rFonts w:hint="eastAsia" w:eastAsiaTheme="minorEastAsia"/>
          <w:b w:val="0"/>
          <w:bCs/>
          <w:lang w:val="en-US" w:eastAsia="zh-CN"/>
        </w:rPr>
        <w:t>the same</w:t>
      </w:r>
      <w:r>
        <w:rPr>
          <w:rFonts w:hint="default" w:eastAsiaTheme="minorEastAsia"/>
          <w:b w:val="0"/>
          <w:bCs/>
          <w:lang w:val="en-US" w:eastAsia="zh-CN"/>
        </w:rPr>
        <w:t xml:space="preserve"> to those of single-port transmission (TPMI=0/1). Further log analysis confirmed that despite the TPMI=2 configuration, the UE did not activate the expected dual-port transmission mode. Notably, this phenomenon has been observed in more than one device model during debugging. The root cause remains unclear, but one potential explanation is that low data volume triggers network down</w:t>
      </w:r>
      <w:r>
        <w:rPr>
          <w:rFonts w:hint="eastAsia" w:eastAsiaTheme="minorEastAsia"/>
          <w:b w:val="0"/>
          <w:bCs/>
          <w:lang w:val="en-US" w:eastAsia="zh-CN"/>
        </w:rPr>
        <w:t>-</w:t>
      </w:r>
      <w:r>
        <w:rPr>
          <w:rFonts w:hint="default" w:eastAsiaTheme="minorEastAsia"/>
          <w:b w:val="0"/>
          <w:bCs/>
          <w:lang w:val="en-US" w:eastAsia="zh-CN"/>
        </w:rPr>
        <w:t>scheduling to allocate only single-stream data transmission.</w:t>
      </w:r>
    </w:p>
    <w:p w14:paraId="72091BB1">
      <w:pPr>
        <w:widowControl w:val="0"/>
        <w:numPr>
          <w:numId w:val="0"/>
        </w:numPr>
        <w:overflowPunct/>
        <w:autoSpaceDE/>
        <w:autoSpaceDN/>
        <w:adjustRightInd/>
        <w:spacing w:before="156" w:beforeLines="50" w:after="156" w:afterLines="50"/>
        <w:ind w:leftChars="0"/>
        <w:jc w:val="both"/>
        <w:textAlignment w:val="auto"/>
        <w:rPr>
          <w:rFonts w:hint="default" w:eastAsiaTheme="minorEastAsia"/>
          <w:b w:val="0"/>
          <w:bCs/>
          <w:lang w:val="en-US" w:eastAsia="zh-CN"/>
        </w:rPr>
      </w:pPr>
      <w:r>
        <w:rPr>
          <w:rFonts w:hint="default" w:eastAsiaTheme="minorEastAsia"/>
          <w:b w:val="0"/>
          <w:bCs/>
          <w:lang w:val="en-US" w:eastAsia="zh-CN"/>
        </w:rPr>
        <w:t xml:space="preserve">If the above situation occurs during the lab alignment and measurement campaigns, it will result in test data not meeting the expected performance of 2Tx </w:t>
      </w:r>
      <w:r>
        <w:rPr>
          <w:rFonts w:hint="eastAsia" w:eastAsiaTheme="minorEastAsia"/>
          <w:b w:val="0"/>
          <w:bCs/>
          <w:lang w:val="en-US" w:eastAsia="zh-CN"/>
        </w:rPr>
        <w:t>UEs</w:t>
      </w:r>
      <w:r>
        <w:rPr>
          <w:rFonts w:hint="default" w:eastAsiaTheme="minorEastAsia"/>
          <w:b w:val="0"/>
          <w:bCs/>
          <w:lang w:val="en-US" w:eastAsia="zh-CN"/>
        </w:rPr>
        <w:t xml:space="preserve">, thereby affecting the </w:t>
      </w:r>
      <w:r>
        <w:rPr>
          <w:rFonts w:hint="eastAsia" w:eastAsiaTheme="minorEastAsia"/>
          <w:b w:val="0"/>
          <w:bCs/>
          <w:lang w:val="en-US" w:eastAsia="zh-CN"/>
        </w:rPr>
        <w:t>performance requirement definition</w:t>
      </w:r>
      <w:r>
        <w:rPr>
          <w:rFonts w:hint="default" w:eastAsiaTheme="minorEastAsia"/>
          <w:b w:val="0"/>
          <w:bCs/>
          <w:lang w:val="en-US" w:eastAsia="zh-CN"/>
        </w:rPr>
        <w:t xml:space="preserve">. Therefore, it is </w:t>
      </w:r>
      <w:r>
        <w:rPr>
          <w:rFonts w:hint="eastAsia" w:eastAsiaTheme="minorEastAsia"/>
          <w:b w:val="0"/>
          <w:bCs/>
          <w:lang w:val="en-US" w:eastAsia="zh-CN"/>
        </w:rPr>
        <w:t xml:space="preserve">kindly </w:t>
      </w:r>
      <w:r>
        <w:rPr>
          <w:rFonts w:hint="default" w:eastAsiaTheme="minorEastAsia"/>
          <w:b w:val="0"/>
          <w:bCs/>
          <w:lang w:val="en-US" w:eastAsia="zh-CN"/>
        </w:rPr>
        <w:t xml:space="preserve">recommended that </w:t>
      </w:r>
      <w:r>
        <w:rPr>
          <w:rFonts w:hint="eastAsia" w:eastAsiaTheme="minorEastAsia"/>
          <w:b w:val="0"/>
          <w:bCs/>
          <w:lang w:val="en-US" w:eastAsia="zh-CN"/>
        </w:rPr>
        <w:t>DUT</w:t>
      </w:r>
      <w:r>
        <w:rPr>
          <w:rFonts w:hint="default" w:eastAsiaTheme="minorEastAsia"/>
          <w:b w:val="0"/>
          <w:bCs/>
          <w:lang w:val="en-US" w:eastAsia="zh-CN"/>
        </w:rPr>
        <w:t xml:space="preserve"> providers</w:t>
      </w:r>
      <w:r>
        <w:rPr>
          <w:rFonts w:hint="eastAsia" w:eastAsiaTheme="minorEastAsia"/>
          <w:b w:val="0"/>
          <w:bCs/>
          <w:lang w:val="en-US" w:eastAsia="zh-CN"/>
        </w:rPr>
        <w:t>/test labs</w:t>
      </w:r>
      <w:r>
        <w:rPr>
          <w:rFonts w:hint="default" w:eastAsiaTheme="minorEastAsia"/>
          <w:b w:val="0"/>
          <w:bCs/>
          <w:lang w:val="en-US" w:eastAsia="zh-CN"/>
        </w:rPr>
        <w:t xml:space="preserve"> pay attention to troubleshooting related issues in subsequent activities to ensure that the tested </w:t>
      </w:r>
      <w:r>
        <w:rPr>
          <w:rFonts w:hint="eastAsia" w:eastAsiaTheme="minorEastAsia"/>
          <w:b w:val="0"/>
          <w:bCs/>
          <w:lang w:val="en-US" w:eastAsia="zh-CN"/>
        </w:rPr>
        <w:t>devices</w:t>
      </w:r>
      <w:r>
        <w:rPr>
          <w:rFonts w:hint="default" w:eastAsiaTheme="minorEastAsia"/>
          <w:b w:val="0"/>
          <w:bCs/>
          <w:lang w:val="en-US" w:eastAsia="zh-CN"/>
        </w:rPr>
        <w:t xml:space="preserve"> operates in the expected working state.</w:t>
      </w:r>
      <w:r>
        <w:rPr>
          <w:rFonts w:hint="eastAsia" w:eastAsiaTheme="minorEastAsia"/>
          <w:b w:val="0"/>
          <w:bCs/>
          <w:lang w:val="en-US" w:eastAsia="zh-CN"/>
        </w:rPr>
        <w:t xml:space="preserve"> </w:t>
      </w:r>
    </w:p>
    <w:p w14:paraId="1A1471F9">
      <w:pPr>
        <w:widowControl w:val="0"/>
        <w:numPr>
          <w:numId w:val="0"/>
        </w:numPr>
        <w:overflowPunct/>
        <w:autoSpaceDE/>
        <w:autoSpaceDN/>
        <w:adjustRightInd/>
        <w:spacing w:before="156" w:beforeLines="50" w:after="156" w:afterLines="50"/>
        <w:ind w:leftChars="0"/>
        <w:jc w:val="both"/>
        <w:textAlignment w:val="auto"/>
        <w:rPr>
          <w:rFonts w:hint="default" w:eastAsiaTheme="minorEastAsia"/>
          <w:b/>
          <w:bCs w:val="0"/>
          <w:lang w:val="en-US" w:eastAsia="zh-CN"/>
        </w:rPr>
      </w:pPr>
      <w:r>
        <w:rPr>
          <w:rFonts w:hint="default" w:eastAsiaTheme="minorEastAsia"/>
          <w:b/>
          <w:bCs w:val="0"/>
          <w:lang w:val="en-US" w:eastAsia="zh-CN"/>
        </w:rPr>
        <w:t>Observation</w:t>
      </w:r>
      <w:r>
        <w:rPr>
          <w:rFonts w:hint="eastAsia" w:eastAsiaTheme="minorEastAsia"/>
          <w:b/>
          <w:bCs w:val="0"/>
          <w:lang w:val="en-US" w:eastAsia="zh-CN"/>
        </w:rPr>
        <w:t xml:space="preserve"> 2</w:t>
      </w:r>
      <w:r>
        <w:rPr>
          <w:rFonts w:hint="default" w:eastAsiaTheme="minorEastAsia"/>
          <w:b/>
          <w:bCs w:val="0"/>
          <w:lang w:val="en-US" w:eastAsia="zh-CN"/>
        </w:rPr>
        <w:t>:</w:t>
      </w:r>
      <w:r>
        <w:rPr>
          <w:rFonts w:hint="eastAsia" w:eastAsiaTheme="minorEastAsia"/>
          <w:b/>
          <w:bCs w:val="0"/>
          <w:lang w:val="en-US" w:eastAsia="zh-CN"/>
        </w:rPr>
        <w:t xml:space="preserve"> Test experience has shown that when TPMI=2 is configured, more than one UE model fails to activate dual port transmission (1-layer 2-ports) as required, resulting in test results deviating from the expected performance of 2Tx UE with dual-port transmission.</w:t>
      </w:r>
    </w:p>
    <w:p w14:paraId="38E4D79B">
      <w:pPr>
        <w:widowControl w:val="0"/>
        <w:numPr>
          <w:ilvl w:val="0"/>
          <w:numId w:val="0"/>
        </w:numPr>
        <w:overflowPunct/>
        <w:autoSpaceDE/>
        <w:autoSpaceDN/>
        <w:adjustRightInd/>
        <w:spacing w:before="156" w:beforeLines="50" w:after="156" w:afterLines="50"/>
        <w:ind w:leftChars="0"/>
        <w:jc w:val="both"/>
        <w:textAlignment w:val="auto"/>
        <w:rPr>
          <w:rFonts w:hint="default" w:eastAsiaTheme="minorEastAsia"/>
          <w:b/>
          <w:bCs w:val="0"/>
          <w:lang w:val="en-US" w:eastAsia="zh-CN"/>
        </w:rPr>
      </w:pPr>
      <w:r>
        <w:rPr>
          <w:rFonts w:hint="eastAsia" w:eastAsiaTheme="minorEastAsia"/>
          <w:b/>
          <w:bCs w:val="0"/>
          <w:lang w:val="en-US" w:eastAsia="zh-CN"/>
        </w:rPr>
        <w:t>Proposal 3：I</w:t>
      </w:r>
      <w:r>
        <w:rPr>
          <w:rFonts w:hint="default" w:eastAsiaTheme="minorEastAsia"/>
          <w:b/>
          <w:bCs w:val="0"/>
          <w:lang w:val="en-US" w:eastAsia="zh-CN"/>
        </w:rPr>
        <w:t xml:space="preserve">t is </w:t>
      </w:r>
      <w:r>
        <w:rPr>
          <w:rFonts w:hint="eastAsia" w:eastAsiaTheme="minorEastAsia"/>
          <w:b/>
          <w:bCs w:val="0"/>
          <w:lang w:val="en-US" w:eastAsia="zh-CN"/>
        </w:rPr>
        <w:t xml:space="preserve">kindly </w:t>
      </w:r>
      <w:r>
        <w:rPr>
          <w:rFonts w:hint="default" w:eastAsiaTheme="minorEastAsia"/>
          <w:b/>
          <w:bCs w:val="0"/>
          <w:lang w:val="en-US" w:eastAsia="zh-CN"/>
        </w:rPr>
        <w:t xml:space="preserve">recommended that </w:t>
      </w:r>
      <w:r>
        <w:rPr>
          <w:rFonts w:hint="eastAsia" w:eastAsiaTheme="minorEastAsia"/>
          <w:b/>
          <w:bCs w:val="0"/>
          <w:lang w:val="en-US" w:eastAsia="zh-CN"/>
        </w:rPr>
        <w:t>DUT</w:t>
      </w:r>
      <w:r>
        <w:rPr>
          <w:rFonts w:hint="default" w:eastAsiaTheme="minorEastAsia"/>
          <w:b/>
          <w:bCs w:val="0"/>
          <w:lang w:val="en-US" w:eastAsia="zh-CN"/>
        </w:rPr>
        <w:t xml:space="preserve"> providers</w:t>
      </w:r>
      <w:r>
        <w:rPr>
          <w:rFonts w:hint="eastAsia" w:eastAsiaTheme="minorEastAsia"/>
          <w:b/>
          <w:bCs w:val="0"/>
          <w:lang w:val="en-US" w:eastAsia="zh-CN"/>
        </w:rPr>
        <w:t>/test labs</w:t>
      </w:r>
      <w:r>
        <w:rPr>
          <w:rFonts w:hint="default" w:eastAsiaTheme="minorEastAsia"/>
          <w:b/>
          <w:bCs w:val="0"/>
          <w:lang w:val="en-US" w:eastAsia="zh-CN"/>
        </w:rPr>
        <w:t xml:space="preserve"> pay attention to troubleshooting related issues in subsequent activities to ensure that the tested </w:t>
      </w:r>
      <w:r>
        <w:rPr>
          <w:rFonts w:hint="eastAsia" w:eastAsiaTheme="minorEastAsia"/>
          <w:b/>
          <w:bCs w:val="0"/>
          <w:lang w:val="en-US" w:eastAsia="zh-CN"/>
        </w:rPr>
        <w:t>devices</w:t>
      </w:r>
      <w:r>
        <w:rPr>
          <w:rFonts w:hint="default" w:eastAsiaTheme="minorEastAsia"/>
          <w:b/>
          <w:bCs w:val="0"/>
          <w:lang w:val="en-US" w:eastAsia="zh-CN"/>
        </w:rPr>
        <w:t xml:space="preserve"> operates in the expected working state.</w:t>
      </w:r>
    </w:p>
    <w:p w14:paraId="5B04D7B8">
      <w:pPr>
        <w:pStyle w:val="3"/>
        <w:rPr>
          <w:rFonts w:hint="default" w:ascii="Arial" w:hAnsi="Arial" w:cs="Arial"/>
          <w:b w:val="0"/>
          <w:bCs w:val="0"/>
          <w:lang w:val="en-US" w:eastAsia="zh-CN"/>
        </w:rPr>
      </w:pPr>
      <w:r>
        <w:rPr>
          <w:rFonts w:ascii="Arial" w:hAnsi="Arial" w:cs="Arial"/>
          <w:b w:val="0"/>
          <w:bCs w:val="0"/>
          <w:lang w:val="en-US" w:eastAsia="zh-CN"/>
        </w:rPr>
        <w:t>2.</w:t>
      </w:r>
      <w:r>
        <w:rPr>
          <w:rFonts w:hint="eastAsia" w:ascii="Arial" w:hAnsi="Arial" w:cs="Arial"/>
          <w:b w:val="0"/>
          <w:bCs w:val="0"/>
          <w:lang w:val="en-US" w:eastAsia="zh-CN"/>
        </w:rPr>
        <w:t>2</w:t>
      </w:r>
      <w:r>
        <w:rPr>
          <w:rFonts w:ascii="Arial" w:hAnsi="Arial" w:cs="Arial"/>
          <w:b w:val="0"/>
          <w:bCs w:val="0"/>
          <w:lang w:val="en-US" w:eastAsia="zh-CN"/>
        </w:rPr>
        <w:t xml:space="preserve"> </w:t>
      </w:r>
      <w:r>
        <w:rPr>
          <w:rFonts w:hint="eastAsia" w:ascii="Arial" w:hAnsi="Arial" w:cs="Arial"/>
          <w:b w:val="0"/>
          <w:bCs w:val="0"/>
          <w:lang w:val="en-US" w:eastAsia="zh-CN"/>
        </w:rPr>
        <w:t>1Tx Measurement campaign and target bands</w:t>
      </w:r>
    </w:p>
    <w:p w14:paraId="5E628DC8">
      <w:pPr>
        <w:rPr>
          <w:rFonts w:hint="default" w:ascii="Arial" w:hAnsi="Arial" w:cs="Arial"/>
          <w:b w:val="0"/>
          <w:bCs w:val="0"/>
          <w:lang w:val="en-US" w:eastAsia="zh-CN"/>
        </w:rPr>
      </w:pPr>
      <w:r>
        <w:rPr>
          <w:rFonts w:hint="eastAsia" w:ascii="Arial" w:hAnsi="Arial" w:cs="Arial"/>
          <w:b w:val="0"/>
          <w:bCs w:val="0"/>
          <w:lang w:val="en-US" w:eastAsia="zh-CN"/>
        </w:rPr>
        <w:t>Per working procedure for Rel-19 Measurement Campaign to define requirements [1], commercial device selection criteria is illustrated as below:</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4"/>
      </w:tblGrid>
      <w:tr w14:paraId="096D7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14:paraId="726A2418">
            <w:pPr>
              <w:numPr>
                <w:ilvl w:val="0"/>
                <w:numId w:val="2"/>
              </w:numPr>
              <w:spacing w:after="100"/>
              <w:rPr>
                <w:rFonts w:ascii="Times New Roman" w:hAnsi="Times New Roman" w:eastAsia="Malgun Gothic"/>
              </w:rPr>
            </w:pPr>
            <w:r>
              <w:rPr>
                <w:rFonts w:ascii="Times New Roman" w:hAnsi="Times New Roman" w:eastAsia="Malgun Gothic"/>
              </w:rPr>
              <w:t>Commercial Device (Smartphone) selection criteria for TRP TRS Performance Test Campaign:</w:t>
            </w:r>
          </w:p>
          <w:p w14:paraId="6CF7A08E">
            <w:pPr>
              <w:numPr>
                <w:ilvl w:val="1"/>
                <w:numId w:val="2"/>
              </w:numPr>
              <w:spacing w:after="100"/>
              <w:rPr>
                <w:rFonts w:ascii="Times New Roman" w:hAnsi="Times New Roman" w:eastAsia="Malgun Gothic"/>
              </w:rPr>
            </w:pPr>
            <w:r>
              <w:rPr>
                <w:rFonts w:ascii="Times New Roman" w:hAnsi="Times New Roman" w:eastAsia="Malgun Gothic"/>
              </w:rPr>
              <w:t xml:space="preserve">DUT size: Size 1(width &gt;72mm and ≤92mm)  </w:t>
            </w:r>
          </w:p>
          <w:p w14:paraId="72D760E4">
            <w:pPr>
              <w:numPr>
                <w:ilvl w:val="1"/>
                <w:numId w:val="2"/>
              </w:numPr>
              <w:spacing w:after="100"/>
              <w:rPr>
                <w:rFonts w:ascii="Times New Roman" w:hAnsi="Times New Roman" w:eastAsia="Malgun Gothic"/>
              </w:rPr>
            </w:pPr>
            <w:r>
              <w:rPr>
                <w:rFonts w:ascii="Times New Roman" w:hAnsi="Times New Roman" w:eastAsia="Malgun Gothic"/>
              </w:rPr>
              <w:t xml:space="preserve">DUT capability: </w:t>
            </w:r>
            <w:r>
              <w:rPr>
                <w:rFonts w:ascii="Times New Roman" w:hAnsi="Times New Roman" w:eastAsia="Malgun Gothic"/>
                <w:lang w:eastAsia="zh-CN"/>
              </w:rPr>
              <w:t>support for Bands those listed in the WID is preferred, but devices supporting only a subset of the above bands can equally be used in the measurement campaign for such supported bands</w:t>
            </w:r>
          </w:p>
          <w:p w14:paraId="4BAD0E07">
            <w:pPr>
              <w:numPr>
                <w:ilvl w:val="1"/>
                <w:numId w:val="2"/>
              </w:numPr>
              <w:spacing w:after="100"/>
              <w:rPr>
                <w:rFonts w:ascii="Times New Roman" w:hAnsi="Times New Roman" w:eastAsia="Malgun Gothic"/>
              </w:rPr>
            </w:pPr>
            <w:r>
              <w:rPr>
                <w:rFonts w:ascii="Times New Roman" w:hAnsi="Times New Roman" w:eastAsia="Malgun Gothic"/>
              </w:rPr>
              <w:t>The following selection criteria can also be considered:</w:t>
            </w:r>
          </w:p>
          <w:p w14:paraId="48FFFE7B">
            <w:pPr>
              <w:numPr>
                <w:ilvl w:val="0"/>
                <w:numId w:val="3"/>
              </w:numPr>
              <w:spacing w:after="100"/>
              <w:rPr>
                <w:rFonts w:ascii="Times New Roman" w:hAnsi="Times New Roman" w:eastAsia="Malgun Gothic"/>
              </w:rPr>
            </w:pPr>
            <w:r>
              <w:rPr>
                <w:rFonts w:ascii="Times New Roman" w:hAnsi="Times New Roman" w:eastAsia="Malgun Gothic"/>
              </w:rPr>
              <w:t>Year of production: [202</w:t>
            </w:r>
            <w:r>
              <w:rPr>
                <w:rFonts w:hint="eastAsia" w:ascii="Times New Roman" w:hAnsi="Times New Roman" w:eastAsiaTheme="minorEastAsia"/>
                <w:lang w:eastAsia="zh-CN"/>
              </w:rPr>
              <w:t>2</w:t>
            </w:r>
            <w:r>
              <w:rPr>
                <w:rFonts w:ascii="Times New Roman" w:hAnsi="Times New Roman" w:eastAsia="Malgun Gothic"/>
              </w:rPr>
              <w:t>-202</w:t>
            </w:r>
            <w:r>
              <w:rPr>
                <w:rFonts w:hint="eastAsia" w:ascii="Times New Roman" w:hAnsi="Times New Roman" w:eastAsiaTheme="minorEastAsia"/>
                <w:lang w:eastAsia="zh-CN"/>
              </w:rPr>
              <w:t>5</w:t>
            </w:r>
            <w:r>
              <w:rPr>
                <w:rFonts w:ascii="Times New Roman" w:hAnsi="Times New Roman" w:eastAsia="Malgun Gothic"/>
              </w:rPr>
              <w:t>]</w:t>
            </w:r>
          </w:p>
          <w:p w14:paraId="1FD289A8">
            <w:pPr>
              <w:numPr>
                <w:ilvl w:val="0"/>
                <w:numId w:val="3"/>
              </w:numPr>
              <w:spacing w:after="100"/>
              <w:rPr>
                <w:rFonts w:ascii="Times New Roman" w:hAnsi="Times New Roman" w:eastAsia="Malgun Gothic"/>
              </w:rPr>
            </w:pPr>
            <w:r>
              <w:rPr>
                <w:rFonts w:ascii="Times New Roman" w:hAnsi="Times New Roman" w:eastAsia="Malgun Gothic"/>
              </w:rPr>
              <w:t>Brand variety</w:t>
            </w:r>
          </w:p>
          <w:p w14:paraId="6AF7A4C1">
            <w:pPr>
              <w:numPr>
                <w:ilvl w:val="0"/>
                <w:numId w:val="3"/>
              </w:numPr>
              <w:spacing w:after="100"/>
              <w:rPr>
                <w:rFonts w:ascii="Times New Roman" w:hAnsi="Times New Roman" w:eastAsia="Malgun Gothic"/>
              </w:rPr>
            </w:pPr>
            <w:r>
              <w:rPr>
                <w:rFonts w:ascii="Times New Roman" w:hAnsi="Times New Roman" w:eastAsia="Malgun Gothic"/>
              </w:rPr>
              <w:t>Price range (to capture different price segment, including High/Mid/Low-end products)</w:t>
            </w:r>
          </w:p>
          <w:p w14:paraId="39787F31">
            <w:pPr>
              <w:numPr>
                <w:ilvl w:val="0"/>
                <w:numId w:val="3"/>
              </w:numPr>
              <w:spacing w:after="100"/>
              <w:rPr>
                <w:rFonts w:ascii="Times New Roman" w:hAnsi="Times New Roman" w:eastAsia="Malgun Gothic"/>
              </w:rPr>
            </w:pPr>
            <w:r>
              <w:rPr>
                <w:rFonts w:ascii="Times New Roman" w:hAnsi="Times New Roman" w:eastAsia="Malgun Gothic"/>
              </w:rPr>
              <w:t>Popularity</w:t>
            </w:r>
          </w:p>
          <w:p w14:paraId="5EB45709">
            <w:pPr>
              <w:numPr>
                <w:ilvl w:val="0"/>
                <w:numId w:val="3"/>
              </w:numPr>
              <w:spacing w:after="100"/>
              <w:rPr>
                <w:rFonts w:ascii="Times New Roman" w:hAnsi="Times New Roman" w:eastAsia="Malgun Gothic"/>
              </w:rPr>
            </w:pPr>
            <w:r>
              <w:rPr>
                <w:rFonts w:ascii="Times New Roman" w:hAnsi="Times New Roman" w:eastAsia="Malgun Gothic"/>
              </w:rPr>
              <w:t>Number of bands supported</w:t>
            </w:r>
          </w:p>
          <w:p w14:paraId="1C275551">
            <w:pPr>
              <w:numPr>
                <w:ilvl w:val="1"/>
                <w:numId w:val="2"/>
              </w:numPr>
              <w:spacing w:after="100"/>
              <w:rPr>
                <w:rFonts w:hint="default" w:ascii="Arial" w:hAnsi="Arial" w:cs="Arial"/>
                <w:b w:val="0"/>
                <w:bCs w:val="0"/>
                <w:vertAlign w:val="baseline"/>
                <w:lang w:val="en-US" w:eastAsia="zh-CN"/>
              </w:rPr>
            </w:pPr>
            <w:r>
              <w:rPr>
                <w:rFonts w:ascii="Times New Roman" w:hAnsi="Times New Roman" w:eastAsia="Malgun Gothic"/>
              </w:rPr>
              <w:t>Power Class: PC2 and PC3. For bands support both PC2 and PC3, focus on PC2 measurements, but both PC2 and PC3 requirements are needed. For PC3 bands, only PC3 requirements.</w:t>
            </w:r>
          </w:p>
        </w:tc>
      </w:tr>
    </w:tbl>
    <w:p w14:paraId="39609B25">
      <w:pPr>
        <w:keepNext w:val="0"/>
        <w:keepLines w:val="0"/>
        <w:pageBreakBefore w:val="0"/>
        <w:widowControl/>
        <w:kinsoku/>
        <w:wordWrap/>
        <w:overflowPunct w:val="0"/>
        <w:topLinePunct w:val="0"/>
        <w:autoSpaceDE w:val="0"/>
        <w:autoSpaceDN w:val="0"/>
        <w:bidi w:val="0"/>
        <w:adjustRightInd w:val="0"/>
        <w:snapToGrid/>
        <w:spacing w:before="157" w:beforeLines="50"/>
        <w:textAlignment w:val="baseline"/>
        <w:rPr>
          <w:rFonts w:hint="default" w:ascii="Arial" w:hAnsi="Arial" w:cs="Arial"/>
          <w:b w:val="0"/>
          <w:bCs w:val="0"/>
          <w:lang w:val="en-US" w:eastAsia="zh-CN"/>
        </w:rPr>
      </w:pPr>
      <w:r>
        <w:rPr>
          <w:rFonts w:hint="default" w:ascii="Arial" w:hAnsi="Arial" w:cs="Arial"/>
          <w:b w:val="0"/>
          <w:bCs w:val="0"/>
          <w:lang w:val="en-US" w:eastAsia="zh-CN"/>
        </w:rPr>
        <w:t>The current commercial device selection criteria for the test campaign allow a four-year span (2022-2025) in production years. While device diversity benefits data pool representativeness, “old devices” may not accurately represent the performance of mainstream commercial devices currently available in the market, given advancements in RF front-end architectures and antenna designs.</w:t>
      </w:r>
    </w:p>
    <w:p w14:paraId="65BACEE6">
      <w:pPr>
        <w:widowControl w:val="0"/>
        <w:numPr>
          <w:ilvl w:val="0"/>
          <w:numId w:val="0"/>
        </w:numPr>
        <w:overflowPunct/>
        <w:autoSpaceDE/>
        <w:autoSpaceDN/>
        <w:adjustRightInd/>
        <w:spacing w:before="156" w:beforeLines="50" w:after="156" w:afterLines="50"/>
        <w:ind w:leftChars="0"/>
        <w:jc w:val="both"/>
        <w:textAlignment w:val="auto"/>
        <w:rPr>
          <w:rFonts w:hint="eastAsia" w:ascii="Arial" w:hAnsi="Arial" w:cs="Arial"/>
          <w:b w:val="0"/>
          <w:bCs w:val="0"/>
          <w:lang w:val="en-US" w:eastAsia="zh-CN"/>
        </w:rPr>
      </w:pPr>
      <w:r>
        <w:rPr>
          <w:rFonts w:hint="eastAsia" w:eastAsiaTheme="minorEastAsia"/>
          <w:b/>
          <w:bCs w:val="0"/>
          <w:lang w:val="en-US" w:eastAsia="zh-CN"/>
        </w:rPr>
        <w:t xml:space="preserve">Proposal 4: </w:t>
      </w:r>
      <w:r>
        <w:rPr>
          <w:rFonts w:hint="default" w:eastAsiaTheme="minorEastAsia"/>
          <w:b/>
          <w:bCs w:val="0"/>
          <w:lang w:val="en-US" w:eastAsia="zh-CN"/>
        </w:rPr>
        <w:t xml:space="preserve">Revise the year of production criterion for commercial device selection to </w:t>
      </w:r>
      <w:r>
        <w:rPr>
          <w:rFonts w:hint="eastAsia" w:eastAsiaTheme="minorEastAsia"/>
          <w:b/>
          <w:bCs w:val="0"/>
          <w:lang w:val="en-US" w:eastAsia="zh-CN"/>
        </w:rPr>
        <w:t>[</w:t>
      </w:r>
      <w:r>
        <w:rPr>
          <w:rFonts w:hint="default" w:eastAsiaTheme="minorEastAsia"/>
          <w:b/>
          <w:bCs w:val="0"/>
          <w:lang w:val="en-US" w:eastAsia="zh-CN"/>
        </w:rPr>
        <w:t>2023-2025</w:t>
      </w:r>
      <w:r>
        <w:rPr>
          <w:rFonts w:hint="eastAsia" w:eastAsiaTheme="minorEastAsia"/>
          <w:b/>
          <w:bCs w:val="0"/>
          <w:lang w:val="en-US" w:eastAsia="zh-CN"/>
        </w:rPr>
        <w:t>].</w:t>
      </w:r>
    </w:p>
    <w:p w14:paraId="06A762C0">
      <w:pPr>
        <w:jc w:val="both"/>
        <w:rPr>
          <w:rFonts w:eastAsiaTheme="minorEastAsia"/>
          <w:lang w:eastAsia="zh-CN"/>
        </w:rPr>
      </w:pPr>
      <w:r>
        <w:rPr>
          <w:rFonts w:hint="eastAsia" w:eastAsiaTheme="minorEastAsia"/>
          <w:lang w:eastAsia="zh-CN"/>
        </w:rPr>
        <w:t xml:space="preserve">At the last meeting, it was agreed to </w:t>
      </w:r>
      <w:r>
        <w:rPr>
          <w:rFonts w:hint="eastAsia" w:eastAsiaTheme="minorEastAsia"/>
          <w:lang w:val="en-US" w:eastAsia="zh-CN"/>
        </w:rPr>
        <w:t>further discuss how to down select 4 bands from n3, n5, n7, n8 and n20</w:t>
      </w:r>
      <w:r>
        <w:rPr>
          <w:rFonts w:hint="eastAsia" w:eastAsiaTheme="minorEastAsia"/>
          <w:lang w:eastAsia="zh-CN"/>
        </w:rPr>
        <w:t xml:space="preserve">, and encouraged companies to </w:t>
      </w:r>
      <w:r>
        <w:rPr>
          <w:rFonts w:eastAsiaTheme="minorEastAsia"/>
          <w:lang w:eastAsia="zh-CN"/>
        </w:rPr>
        <w:t>provide</w:t>
      </w:r>
      <w:r>
        <w:rPr>
          <w:rFonts w:hint="eastAsia" w:eastAsiaTheme="minorEastAsia"/>
          <w:lang w:eastAsia="zh-CN"/>
        </w:rPr>
        <w:t xml:space="preserve"> feedback on </w:t>
      </w:r>
      <w:r>
        <w:rPr>
          <w:rFonts w:hint="eastAsia"/>
          <w:iCs/>
          <w:color w:val="000000" w:themeColor="text1"/>
          <w:lang w:val="en-US" w:eastAsia="zh-CN"/>
          <w14:textFill>
            <w14:solidFill>
              <w14:schemeClr w14:val="tx1"/>
            </w14:solidFill>
          </w14:textFill>
        </w:rPr>
        <w:t xml:space="preserve">available </w:t>
      </w:r>
      <w:r>
        <w:rPr>
          <w:rFonts w:hint="eastAsia" w:eastAsiaTheme="minorEastAsia"/>
          <w:lang w:eastAsia="zh-CN"/>
        </w:rPr>
        <w:t>number of devices [</w:t>
      </w:r>
      <w:r>
        <w:rPr>
          <w:rFonts w:hint="eastAsia" w:eastAsiaTheme="minorEastAsia"/>
          <w:lang w:val="en-US" w:eastAsia="zh-CN"/>
        </w:rPr>
        <w:t>2</w:t>
      </w:r>
      <w:r>
        <w:rPr>
          <w:rFonts w:hint="eastAsia" w:eastAsiaTheme="minorEastAsia"/>
          <w:lang w:eastAsia="zh-CN"/>
        </w:rPr>
        <w:t xml:space="preserve">]: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14:paraId="7B373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14:paraId="6D0539DB">
            <w:pPr>
              <w:rPr>
                <w:b/>
                <w:u w:val="single"/>
                <w:lang w:eastAsia="zh-CN"/>
              </w:rPr>
            </w:pPr>
            <w:r>
              <w:rPr>
                <w:b/>
                <w:u w:val="single"/>
                <w:lang w:eastAsia="ko-KR"/>
              </w:rPr>
              <w:t xml:space="preserve">Issue </w:t>
            </w:r>
            <w:r>
              <w:rPr>
                <w:rFonts w:hint="eastAsia"/>
                <w:b/>
                <w:u w:val="single"/>
                <w:lang w:eastAsia="zh-CN"/>
              </w:rPr>
              <w:t>4</w:t>
            </w:r>
            <w:r>
              <w:rPr>
                <w:b/>
                <w:u w:val="single"/>
                <w:lang w:eastAsia="ko-KR"/>
              </w:rPr>
              <w:t>-</w:t>
            </w:r>
            <w:r>
              <w:rPr>
                <w:rFonts w:hint="eastAsia"/>
                <w:b/>
                <w:u w:val="single"/>
                <w:lang w:eastAsia="zh-CN"/>
              </w:rPr>
              <w:t>2</w:t>
            </w:r>
            <w:r>
              <w:rPr>
                <w:b/>
                <w:u w:val="single"/>
                <w:lang w:eastAsia="ko-KR"/>
              </w:rPr>
              <w:t>-</w:t>
            </w:r>
            <w:r>
              <w:rPr>
                <w:rFonts w:hint="eastAsia"/>
                <w:b/>
                <w:u w:val="single"/>
                <w:lang w:eastAsia="zh-CN"/>
              </w:rPr>
              <w:t>3</w:t>
            </w:r>
            <w:r>
              <w:rPr>
                <w:b/>
                <w:u w:val="single"/>
                <w:lang w:eastAsia="ko-KR"/>
              </w:rPr>
              <w:t xml:space="preserve">: </w:t>
            </w:r>
            <w:r>
              <w:rPr>
                <w:rFonts w:hint="eastAsia"/>
                <w:b/>
                <w:u w:val="single"/>
                <w:lang w:eastAsia="zh-CN"/>
              </w:rPr>
              <w:t xml:space="preserve">band number for 1Tx requirements in Rel-19   </w:t>
            </w:r>
          </w:p>
          <w:p w14:paraId="7C89650A">
            <w:pPr>
              <w:spacing w:after="120"/>
              <w:rPr>
                <w:szCs w:val="24"/>
                <w:lang w:eastAsia="zh-CN"/>
              </w:rPr>
            </w:pPr>
            <w:r>
              <w:rPr>
                <w:rFonts w:hint="eastAsia"/>
                <w:szCs w:val="24"/>
                <w:lang w:eastAsia="zh-CN"/>
              </w:rPr>
              <w:t>Agreements:</w:t>
            </w:r>
          </w:p>
          <w:p w14:paraId="399F2218">
            <w:pPr>
              <w:pStyle w:val="16"/>
              <w:numPr>
                <w:ilvl w:val="1"/>
                <w:numId w:val="4"/>
              </w:numPr>
              <w:overflowPunct/>
              <w:autoSpaceDE/>
              <w:autoSpaceDN/>
              <w:adjustRightInd/>
              <w:spacing w:after="120"/>
              <w:ind w:left="1440" w:firstLineChars="0"/>
              <w:textAlignment w:val="auto"/>
              <w:rPr>
                <w:rFonts w:hint="eastAsia" w:eastAsiaTheme="minorEastAsia"/>
                <w:lang w:eastAsia="zh-CN"/>
              </w:rPr>
            </w:pPr>
            <w:r>
              <w:rPr>
                <w:rFonts w:eastAsia="宋体"/>
                <w:b/>
                <w:bCs/>
                <w:szCs w:val="24"/>
                <w:lang w:eastAsia="zh-CN"/>
              </w:rPr>
              <w:t>RAN4 further discuss how to select 4 bands from n3, n5, n7, n8, and n20, encourage companies to provide feedback by RAN4 #114bis on available number of devices each band and provide devices to test labs for data collecting</w:t>
            </w:r>
            <w:r>
              <w:rPr>
                <w:rFonts w:hint="eastAsia" w:eastAsia="宋体"/>
                <w:b/>
                <w:bCs/>
                <w:szCs w:val="24"/>
                <w:lang w:eastAsia="zh-CN"/>
              </w:rPr>
              <w:t>.</w:t>
            </w:r>
          </w:p>
        </w:tc>
      </w:tr>
    </w:tbl>
    <w:p w14:paraId="40546282">
      <w:pPr>
        <w:jc w:val="both"/>
        <w:rPr>
          <w:rFonts w:hint="eastAsia" w:eastAsiaTheme="minorEastAsia"/>
          <w:lang w:eastAsia="zh-CN"/>
        </w:rPr>
      </w:pPr>
      <w:r>
        <w:rPr>
          <w:rFonts w:hint="eastAsia" w:eastAsiaTheme="minorEastAsia"/>
          <w:lang w:eastAsia="zh-CN"/>
        </w:rPr>
        <w:t>According to the GSA 5G Device Ecosystem Report (September 2024), the candidate frequency bands with the top four device support are n3, n5, n8, and n7 (ranked in descending order). Based on this data, it is recommended to prioritize these four bands for defining the 1Tx requirements in Release 19.</w:t>
      </w:r>
    </w:p>
    <w:p w14:paraId="2B8ECB92">
      <w:pPr>
        <w:jc w:val="center"/>
        <w:rPr>
          <w:rFonts w:hint="eastAsia" w:eastAsiaTheme="minorEastAsia"/>
          <w:lang w:eastAsia="zh-CN"/>
        </w:rPr>
      </w:pPr>
      <w:r>
        <w:rPr>
          <w:rFonts w:eastAsiaTheme="minorEastAsia"/>
          <w:bCs/>
          <w:lang w:eastAsia="zh-CN"/>
        </w:rPr>
        <w:drawing>
          <wp:inline distT="0" distB="0" distL="0" distR="0">
            <wp:extent cx="4013835" cy="2353945"/>
            <wp:effectExtent l="0" t="0" r="1905" b="10160"/>
            <wp:docPr id="71556806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568068" name="图片 1"/>
                    <pic:cNvPicPr>
                      <a:picLocks noChangeAspect="1"/>
                    </pic:cNvPicPr>
                  </pic:nvPicPr>
                  <pic:blipFill>
                    <a:blip r:embed="rId6"/>
                    <a:stretch>
                      <a:fillRect/>
                    </a:stretch>
                  </pic:blipFill>
                  <pic:spPr>
                    <a:xfrm>
                      <a:off x="0" y="0"/>
                      <a:ext cx="4018821" cy="2356752"/>
                    </a:xfrm>
                    <a:prstGeom prst="rect">
                      <a:avLst/>
                    </a:prstGeom>
                  </pic:spPr>
                </pic:pic>
              </a:graphicData>
            </a:graphic>
          </wp:inline>
        </w:drawing>
      </w:r>
    </w:p>
    <w:p w14:paraId="3761283B">
      <w:pPr>
        <w:jc w:val="center"/>
        <w:rPr>
          <w:rFonts w:hint="eastAsia" w:eastAsiaTheme="minorEastAsia"/>
          <w:lang w:eastAsia="zh-CN"/>
        </w:rPr>
      </w:pPr>
      <w:r>
        <w:rPr>
          <w:rFonts w:hint="eastAsia" w:eastAsiaTheme="minorEastAsia"/>
          <w:bCs/>
          <w:sz w:val="18"/>
          <w:szCs w:val="18"/>
          <w:lang w:eastAsia="zh-CN"/>
        </w:rPr>
        <w:t xml:space="preserve">Fig. 1.  </w:t>
      </w:r>
      <w:r>
        <w:rPr>
          <w:rFonts w:eastAsiaTheme="minorEastAsia"/>
          <w:bCs/>
          <w:sz w:val="18"/>
          <w:szCs w:val="18"/>
          <w:lang w:eastAsia="zh-CN"/>
        </w:rPr>
        <w:t>Announced 5G spectrum support, number of models by band, for bands</w:t>
      </w:r>
      <w:r>
        <w:rPr>
          <w:rFonts w:hint="eastAsia" w:eastAsiaTheme="minorEastAsia"/>
          <w:bCs/>
          <w:sz w:val="18"/>
          <w:szCs w:val="18"/>
          <w:lang w:eastAsia="zh-CN"/>
        </w:rPr>
        <w:t xml:space="preserve"> </w:t>
      </w:r>
      <w:r>
        <w:rPr>
          <w:rFonts w:eastAsiaTheme="minorEastAsia"/>
          <w:bCs/>
          <w:sz w:val="18"/>
          <w:szCs w:val="18"/>
          <w:lang w:eastAsia="zh-CN"/>
        </w:rPr>
        <w:t xml:space="preserve">supported by </w:t>
      </w:r>
      <w:r>
        <w:rPr>
          <w:rFonts w:hint="eastAsia" w:eastAsiaTheme="minorEastAsia"/>
          <w:bCs/>
          <w:sz w:val="18"/>
          <w:szCs w:val="18"/>
          <w:lang w:eastAsia="zh-CN"/>
        </w:rPr>
        <w:t>500</w:t>
      </w:r>
      <w:r>
        <w:rPr>
          <w:rFonts w:eastAsiaTheme="minorEastAsia"/>
          <w:bCs/>
          <w:sz w:val="18"/>
          <w:szCs w:val="18"/>
          <w:lang w:eastAsia="zh-CN"/>
        </w:rPr>
        <w:t xml:space="preserve"> devices or more (data not available for all devices)</w:t>
      </w:r>
      <w:r>
        <w:rPr>
          <w:rFonts w:hint="eastAsia" w:eastAsiaTheme="minorEastAsia"/>
          <w:bCs/>
          <w:sz w:val="18"/>
          <w:szCs w:val="18"/>
          <w:lang w:eastAsia="zh-CN"/>
        </w:rPr>
        <w:t xml:space="preserve">. Quoted from GSA </w:t>
      </w:r>
      <w:r>
        <w:rPr>
          <w:rFonts w:eastAsiaTheme="minorEastAsia"/>
          <w:bCs/>
          <w:sz w:val="18"/>
          <w:szCs w:val="18"/>
          <w:lang w:eastAsia="zh-CN"/>
        </w:rPr>
        <w:t>5G Device Ecosystem</w:t>
      </w:r>
      <w:r>
        <w:rPr>
          <w:rFonts w:hint="eastAsia" w:eastAsiaTheme="minorEastAsia"/>
          <w:bCs/>
          <w:sz w:val="18"/>
          <w:szCs w:val="18"/>
          <w:lang w:eastAsia="zh-CN"/>
        </w:rPr>
        <w:t xml:space="preserve"> Report (Sep. 2024)</w:t>
      </w:r>
      <w:r>
        <w:rPr>
          <w:rFonts w:hint="eastAsia" w:eastAsiaTheme="minorEastAsia"/>
          <w:lang w:eastAsia="zh-CN"/>
        </w:rPr>
        <w:t xml:space="preserve"> </w:t>
      </w:r>
    </w:p>
    <w:p w14:paraId="4437B6CA">
      <w:pPr>
        <w:jc w:val="both"/>
        <w:rPr>
          <w:rFonts w:hint="default" w:eastAsiaTheme="minorEastAsia"/>
          <w:b/>
          <w:bCs w:val="0"/>
          <w:lang w:val="en-US" w:eastAsia="zh-CN"/>
        </w:rPr>
      </w:pPr>
      <w:r>
        <w:rPr>
          <w:rFonts w:hint="eastAsia" w:eastAsiaTheme="minorEastAsia"/>
          <w:b/>
          <w:bCs/>
          <w:lang w:eastAsia="zh-CN"/>
        </w:rPr>
        <w:t xml:space="preserve">Proposal </w:t>
      </w:r>
      <w:r>
        <w:rPr>
          <w:rFonts w:hint="eastAsia" w:eastAsiaTheme="minorEastAsia"/>
          <w:b/>
          <w:bCs/>
          <w:lang w:val="en-US" w:eastAsia="zh-CN"/>
        </w:rPr>
        <w:t>5</w:t>
      </w:r>
      <w:r>
        <w:rPr>
          <w:rFonts w:hint="eastAsia" w:eastAsiaTheme="minorEastAsia"/>
          <w:b/>
          <w:bCs/>
          <w:lang w:eastAsia="zh-CN"/>
        </w:rPr>
        <w:t>:</w:t>
      </w:r>
      <w:r>
        <w:rPr>
          <w:rFonts w:hint="eastAsia" w:eastAsiaTheme="minorEastAsia"/>
          <w:b/>
          <w:bCs/>
          <w:lang w:val="en-US" w:eastAsia="zh-CN"/>
        </w:rPr>
        <w:t xml:space="preserve"> I</w:t>
      </w:r>
      <w:r>
        <w:rPr>
          <w:rFonts w:hint="eastAsia" w:eastAsiaTheme="minorEastAsia"/>
          <w:b/>
          <w:bCs/>
          <w:lang w:eastAsia="zh-CN"/>
        </w:rPr>
        <w:t xml:space="preserve">t is recommended to select </w:t>
      </w:r>
      <w:r>
        <w:rPr>
          <w:rFonts w:eastAsiaTheme="minorEastAsia"/>
          <w:b/>
          <w:bCs/>
          <w:lang w:eastAsia="zh-CN"/>
        </w:rPr>
        <w:t>n3, n</w:t>
      </w:r>
      <w:r>
        <w:rPr>
          <w:rFonts w:hint="eastAsia" w:eastAsiaTheme="minorEastAsia"/>
          <w:b/>
          <w:bCs/>
          <w:lang w:val="en-US" w:eastAsia="zh-CN"/>
        </w:rPr>
        <w:t>5</w:t>
      </w:r>
      <w:r>
        <w:rPr>
          <w:rFonts w:eastAsiaTheme="minorEastAsia"/>
          <w:b/>
          <w:bCs/>
          <w:lang w:eastAsia="zh-CN"/>
        </w:rPr>
        <w:t xml:space="preserve">, </w:t>
      </w:r>
      <w:r>
        <w:rPr>
          <w:rFonts w:hint="eastAsia" w:eastAsiaTheme="minorEastAsia"/>
          <w:b/>
          <w:bCs/>
          <w:lang w:val="en-US" w:eastAsia="zh-CN"/>
        </w:rPr>
        <w:t xml:space="preserve">n7, </w:t>
      </w:r>
      <w:r>
        <w:rPr>
          <w:rFonts w:hint="eastAsia" w:eastAsiaTheme="minorEastAsia"/>
          <w:b/>
          <w:bCs/>
          <w:lang w:eastAsia="zh-CN"/>
        </w:rPr>
        <w:t>n8</w:t>
      </w:r>
      <w:r>
        <w:rPr>
          <w:rFonts w:hint="eastAsia" w:eastAsiaTheme="minorEastAsia"/>
          <w:b/>
          <w:bCs/>
          <w:lang w:val="en-US" w:eastAsia="zh-CN"/>
        </w:rPr>
        <w:t xml:space="preserve"> </w:t>
      </w:r>
      <w:r>
        <w:rPr>
          <w:rFonts w:hint="eastAsia" w:eastAsiaTheme="minorEastAsia"/>
          <w:b/>
          <w:bCs/>
          <w:lang w:eastAsia="zh-CN"/>
        </w:rPr>
        <w:t xml:space="preserve">as four target bands </w:t>
      </w:r>
      <w:r>
        <w:rPr>
          <w:rFonts w:hint="eastAsia" w:eastAsiaTheme="minorEastAsia"/>
          <w:b/>
          <w:bCs/>
          <w:lang w:val="en-US" w:eastAsia="zh-CN"/>
        </w:rPr>
        <w:t>for</w:t>
      </w:r>
      <w:r>
        <w:rPr>
          <w:rFonts w:hint="eastAsia" w:eastAsiaTheme="minorEastAsia"/>
          <w:b/>
          <w:bCs/>
          <w:lang w:eastAsia="zh-CN"/>
        </w:rPr>
        <w:t xml:space="preserve"> </w:t>
      </w:r>
      <w:r>
        <w:rPr>
          <w:rFonts w:hint="eastAsia" w:eastAsiaTheme="minorEastAsia"/>
          <w:b/>
          <w:bCs/>
          <w:lang w:val="en-US" w:eastAsia="zh-CN"/>
        </w:rPr>
        <w:t>1Tx</w:t>
      </w:r>
      <w:r>
        <w:rPr>
          <w:rFonts w:hint="eastAsia" w:eastAsiaTheme="minorEastAsia"/>
          <w:b/>
          <w:bCs/>
          <w:lang w:eastAsia="zh-CN"/>
        </w:rPr>
        <w:t xml:space="preserve"> </w:t>
      </w:r>
      <w:r>
        <w:rPr>
          <w:rFonts w:eastAsiaTheme="minorEastAsia"/>
          <w:b/>
          <w:bCs/>
          <w:lang w:eastAsia="zh-CN"/>
        </w:rPr>
        <w:t>requirement</w:t>
      </w:r>
      <w:r>
        <w:rPr>
          <w:rFonts w:hint="eastAsia" w:eastAsiaTheme="minorEastAsia"/>
          <w:b/>
          <w:bCs/>
          <w:lang w:eastAsia="zh-CN"/>
        </w:rPr>
        <w:t xml:space="preserve">s in Rel-19. </w:t>
      </w:r>
    </w:p>
    <w:bookmarkEnd w:id="9"/>
    <w:p w14:paraId="1CF59D43">
      <w:pPr>
        <w:pStyle w:val="2"/>
        <w:rPr>
          <w:rFonts w:eastAsia="宋体"/>
          <w:lang w:eastAsia="zh-CN"/>
        </w:rPr>
      </w:pPr>
      <w:r>
        <w:t>3</w:t>
      </w:r>
      <w:r>
        <w:tab/>
      </w:r>
      <w:r>
        <w:rPr>
          <w:rFonts w:hint="eastAsia" w:eastAsia="宋体"/>
          <w:lang w:eastAsia="zh-CN"/>
        </w:rPr>
        <w:t>Conclusion</w:t>
      </w:r>
    </w:p>
    <w:p w14:paraId="2D368AE8">
      <w:pPr>
        <w:rPr>
          <w:rFonts w:eastAsia="宋体"/>
          <w:sz w:val="22"/>
          <w:szCs w:val="22"/>
          <w:lang w:eastAsia="zh-CN"/>
        </w:rPr>
      </w:pPr>
      <w:r>
        <w:rPr>
          <w:rFonts w:eastAsia="宋体"/>
          <w:sz w:val="22"/>
          <w:szCs w:val="22"/>
          <w:lang w:eastAsia="zh-CN"/>
        </w:rPr>
        <w:t>This contribution makes the following observations and proposals.</w:t>
      </w:r>
    </w:p>
    <w:p w14:paraId="3A58EBA3">
      <w:pPr>
        <w:widowControl w:val="0"/>
        <w:numPr>
          <w:ilvl w:val="0"/>
          <w:numId w:val="0"/>
        </w:numPr>
        <w:overflowPunct/>
        <w:autoSpaceDE/>
        <w:autoSpaceDN/>
        <w:adjustRightInd/>
        <w:spacing w:before="156" w:beforeLines="50" w:after="156" w:afterLines="50"/>
        <w:ind w:leftChars="0"/>
        <w:jc w:val="both"/>
        <w:textAlignment w:val="auto"/>
        <w:rPr>
          <w:rFonts w:hint="eastAsia" w:eastAsiaTheme="minorEastAsia"/>
          <w:b/>
          <w:bCs w:val="0"/>
          <w:lang w:val="en-US" w:eastAsia="zh-CN"/>
        </w:rPr>
      </w:pPr>
      <w:r>
        <w:rPr>
          <w:rFonts w:hint="eastAsia" w:eastAsiaTheme="minorEastAsia"/>
          <w:b/>
          <w:bCs w:val="0"/>
          <w:lang w:val="en-US" w:eastAsia="zh-CN"/>
        </w:rPr>
        <w:t>Observation 1: The overall 2Tx lab alignment activity progress is behind schedule of the Work Plan for R19 OTA WI due to multiple reasons.</w:t>
      </w:r>
    </w:p>
    <w:p w14:paraId="71147BD4">
      <w:pPr>
        <w:widowControl w:val="0"/>
        <w:numPr>
          <w:ilvl w:val="0"/>
          <w:numId w:val="0"/>
        </w:numPr>
        <w:overflowPunct/>
        <w:autoSpaceDE/>
        <w:autoSpaceDN/>
        <w:adjustRightInd/>
        <w:spacing w:before="156" w:beforeLines="50" w:after="156" w:afterLines="50"/>
        <w:ind w:leftChars="0"/>
        <w:jc w:val="both"/>
        <w:textAlignment w:val="auto"/>
        <w:rPr>
          <w:rFonts w:hint="eastAsia" w:eastAsiaTheme="minorEastAsia"/>
          <w:b/>
          <w:bCs w:val="0"/>
          <w:lang w:val="en-US" w:eastAsia="zh-CN"/>
        </w:rPr>
      </w:pPr>
      <w:r>
        <w:rPr>
          <w:rFonts w:hint="eastAsia" w:eastAsiaTheme="minorEastAsia"/>
          <w:b/>
          <w:bCs w:val="0"/>
          <w:lang w:val="en-US" w:eastAsia="zh-CN"/>
        </w:rPr>
        <w:t>Proposal 1: Focus on completing 2Tx lab alignment on n41 first to control schedule risk. Rapporteur should coordinate with all volunteer labs to report progress on this activity.</w:t>
      </w:r>
    </w:p>
    <w:p w14:paraId="06819DDA">
      <w:pPr>
        <w:widowControl w:val="0"/>
        <w:numPr>
          <w:ilvl w:val="0"/>
          <w:numId w:val="0"/>
        </w:numPr>
        <w:overflowPunct/>
        <w:autoSpaceDE/>
        <w:autoSpaceDN/>
        <w:adjustRightInd/>
        <w:spacing w:before="156" w:beforeLines="50" w:after="156" w:afterLines="50"/>
        <w:ind w:leftChars="0"/>
        <w:jc w:val="both"/>
        <w:textAlignment w:val="auto"/>
        <w:rPr>
          <w:rFonts w:hint="eastAsia" w:eastAsiaTheme="minorEastAsia"/>
          <w:b/>
          <w:bCs w:val="0"/>
          <w:lang w:val="en-US" w:eastAsia="zh-CN"/>
        </w:rPr>
      </w:pPr>
      <w:r>
        <w:rPr>
          <w:rFonts w:hint="eastAsia" w:eastAsiaTheme="minorEastAsia"/>
          <w:b/>
          <w:bCs w:val="0"/>
          <w:lang w:val="en-US" w:eastAsia="zh-CN"/>
        </w:rPr>
        <w:t>Proposal 2: Further decide whether to remove the 2Tx lab alignment for n78 in this release based on progress in May meeting.</w:t>
      </w:r>
    </w:p>
    <w:p w14:paraId="568B7926">
      <w:pPr>
        <w:widowControl w:val="0"/>
        <w:numPr>
          <w:ilvl w:val="0"/>
          <w:numId w:val="0"/>
        </w:numPr>
        <w:overflowPunct/>
        <w:autoSpaceDE/>
        <w:autoSpaceDN/>
        <w:adjustRightInd/>
        <w:spacing w:before="156" w:beforeLines="50" w:after="156" w:afterLines="50"/>
        <w:ind w:leftChars="0"/>
        <w:jc w:val="both"/>
        <w:textAlignment w:val="auto"/>
        <w:rPr>
          <w:rFonts w:hint="default" w:eastAsiaTheme="minorEastAsia"/>
          <w:b/>
          <w:bCs w:val="0"/>
          <w:lang w:val="en-US" w:eastAsia="zh-CN"/>
        </w:rPr>
      </w:pPr>
      <w:r>
        <w:rPr>
          <w:rFonts w:hint="default" w:eastAsiaTheme="minorEastAsia"/>
          <w:b/>
          <w:bCs w:val="0"/>
          <w:lang w:val="en-US" w:eastAsia="zh-CN"/>
        </w:rPr>
        <w:t>Observation</w:t>
      </w:r>
      <w:r>
        <w:rPr>
          <w:rFonts w:hint="eastAsia" w:eastAsiaTheme="minorEastAsia"/>
          <w:b/>
          <w:bCs w:val="0"/>
          <w:lang w:val="en-US" w:eastAsia="zh-CN"/>
        </w:rPr>
        <w:t xml:space="preserve"> 2</w:t>
      </w:r>
      <w:r>
        <w:rPr>
          <w:rFonts w:hint="default" w:eastAsiaTheme="minorEastAsia"/>
          <w:b/>
          <w:bCs w:val="0"/>
          <w:lang w:val="en-US" w:eastAsia="zh-CN"/>
        </w:rPr>
        <w:t>:</w:t>
      </w:r>
      <w:r>
        <w:rPr>
          <w:rFonts w:hint="eastAsia" w:eastAsiaTheme="minorEastAsia"/>
          <w:b/>
          <w:bCs w:val="0"/>
          <w:lang w:val="en-US" w:eastAsia="zh-CN"/>
        </w:rPr>
        <w:t xml:space="preserve"> Test experience has shown that when TPMI=2 is configured, more than one UE model fails to activate dual port transmission (1-layer 2-ports) as required, resulting in test results deviating from the expected performance of 2Tx UE with dual-port transmission.</w:t>
      </w:r>
    </w:p>
    <w:p w14:paraId="54465B2E">
      <w:pPr>
        <w:widowControl w:val="0"/>
        <w:numPr>
          <w:ilvl w:val="0"/>
          <w:numId w:val="0"/>
        </w:numPr>
        <w:overflowPunct/>
        <w:autoSpaceDE/>
        <w:autoSpaceDN/>
        <w:adjustRightInd/>
        <w:spacing w:before="156" w:beforeLines="50" w:after="156" w:afterLines="50"/>
        <w:ind w:leftChars="0"/>
        <w:jc w:val="both"/>
        <w:textAlignment w:val="auto"/>
        <w:rPr>
          <w:rFonts w:hint="default" w:eastAsiaTheme="minorEastAsia"/>
          <w:b/>
          <w:bCs w:val="0"/>
          <w:lang w:val="en-US" w:eastAsia="zh-CN"/>
        </w:rPr>
      </w:pPr>
      <w:r>
        <w:rPr>
          <w:rFonts w:hint="eastAsia" w:eastAsiaTheme="minorEastAsia"/>
          <w:b/>
          <w:bCs w:val="0"/>
          <w:lang w:val="en-US" w:eastAsia="zh-CN"/>
        </w:rPr>
        <w:t>Proposal 3：I</w:t>
      </w:r>
      <w:r>
        <w:rPr>
          <w:rFonts w:hint="default" w:eastAsiaTheme="minorEastAsia"/>
          <w:b/>
          <w:bCs w:val="0"/>
          <w:lang w:val="en-US" w:eastAsia="zh-CN"/>
        </w:rPr>
        <w:t xml:space="preserve">t is </w:t>
      </w:r>
      <w:r>
        <w:rPr>
          <w:rFonts w:hint="eastAsia" w:eastAsiaTheme="minorEastAsia"/>
          <w:b/>
          <w:bCs w:val="0"/>
          <w:lang w:val="en-US" w:eastAsia="zh-CN"/>
        </w:rPr>
        <w:t xml:space="preserve">kindly </w:t>
      </w:r>
      <w:r>
        <w:rPr>
          <w:rFonts w:hint="default" w:eastAsiaTheme="minorEastAsia"/>
          <w:b/>
          <w:bCs w:val="0"/>
          <w:lang w:val="en-US" w:eastAsia="zh-CN"/>
        </w:rPr>
        <w:t xml:space="preserve">recommended that </w:t>
      </w:r>
      <w:r>
        <w:rPr>
          <w:rFonts w:hint="eastAsia" w:eastAsiaTheme="minorEastAsia"/>
          <w:b/>
          <w:bCs w:val="0"/>
          <w:lang w:val="en-US" w:eastAsia="zh-CN"/>
        </w:rPr>
        <w:t>DUT</w:t>
      </w:r>
      <w:r>
        <w:rPr>
          <w:rFonts w:hint="default" w:eastAsiaTheme="minorEastAsia"/>
          <w:b/>
          <w:bCs w:val="0"/>
          <w:lang w:val="en-US" w:eastAsia="zh-CN"/>
        </w:rPr>
        <w:t xml:space="preserve"> providers</w:t>
      </w:r>
      <w:r>
        <w:rPr>
          <w:rFonts w:hint="eastAsia" w:eastAsiaTheme="minorEastAsia"/>
          <w:b/>
          <w:bCs w:val="0"/>
          <w:lang w:val="en-US" w:eastAsia="zh-CN"/>
        </w:rPr>
        <w:t>/test labs</w:t>
      </w:r>
      <w:r>
        <w:rPr>
          <w:rFonts w:hint="default" w:eastAsiaTheme="minorEastAsia"/>
          <w:b/>
          <w:bCs w:val="0"/>
          <w:lang w:val="en-US" w:eastAsia="zh-CN"/>
        </w:rPr>
        <w:t xml:space="preserve"> pay attention to troubleshooting related issues in subsequent activities to ensure that the tested </w:t>
      </w:r>
      <w:r>
        <w:rPr>
          <w:rFonts w:hint="eastAsia" w:eastAsiaTheme="minorEastAsia"/>
          <w:b/>
          <w:bCs w:val="0"/>
          <w:lang w:val="en-US" w:eastAsia="zh-CN"/>
        </w:rPr>
        <w:t>devices</w:t>
      </w:r>
      <w:r>
        <w:rPr>
          <w:rFonts w:hint="default" w:eastAsiaTheme="minorEastAsia"/>
          <w:b/>
          <w:bCs w:val="0"/>
          <w:lang w:val="en-US" w:eastAsia="zh-CN"/>
        </w:rPr>
        <w:t xml:space="preserve"> operates in the expected working state.</w:t>
      </w:r>
    </w:p>
    <w:p w14:paraId="4C99130F">
      <w:pPr>
        <w:widowControl w:val="0"/>
        <w:numPr>
          <w:ilvl w:val="0"/>
          <w:numId w:val="0"/>
        </w:numPr>
        <w:overflowPunct/>
        <w:autoSpaceDE/>
        <w:autoSpaceDN/>
        <w:adjustRightInd/>
        <w:spacing w:before="156" w:beforeLines="50" w:after="156" w:afterLines="50"/>
        <w:ind w:leftChars="0"/>
        <w:jc w:val="both"/>
        <w:textAlignment w:val="auto"/>
        <w:rPr>
          <w:rFonts w:hint="default" w:eastAsiaTheme="minorEastAsia"/>
          <w:b/>
          <w:bCs w:val="0"/>
          <w:lang w:val="en-US" w:eastAsia="zh-CN"/>
        </w:rPr>
      </w:pPr>
      <w:r>
        <w:rPr>
          <w:rFonts w:hint="eastAsia" w:eastAsiaTheme="minorEastAsia"/>
          <w:b/>
          <w:bCs w:val="0"/>
          <w:lang w:val="en-US" w:eastAsia="zh-CN"/>
        </w:rPr>
        <w:t xml:space="preserve">Proposal 4: </w:t>
      </w:r>
      <w:r>
        <w:rPr>
          <w:rFonts w:hint="default" w:eastAsiaTheme="minorEastAsia"/>
          <w:b/>
          <w:bCs w:val="0"/>
          <w:lang w:val="en-US" w:eastAsia="zh-CN"/>
        </w:rPr>
        <w:t xml:space="preserve">Revise the year of production criterion for commercial device selection to </w:t>
      </w:r>
      <w:r>
        <w:rPr>
          <w:rFonts w:hint="eastAsia" w:eastAsiaTheme="minorEastAsia"/>
          <w:b/>
          <w:bCs w:val="0"/>
          <w:lang w:val="en-US" w:eastAsia="zh-CN"/>
        </w:rPr>
        <w:t>[</w:t>
      </w:r>
      <w:r>
        <w:rPr>
          <w:rFonts w:hint="default" w:eastAsiaTheme="minorEastAsia"/>
          <w:b/>
          <w:bCs w:val="0"/>
          <w:lang w:val="en-US" w:eastAsia="zh-CN"/>
        </w:rPr>
        <w:t>2023-2025</w:t>
      </w:r>
      <w:r>
        <w:rPr>
          <w:rFonts w:hint="eastAsia" w:eastAsiaTheme="minorEastAsia"/>
          <w:b/>
          <w:bCs w:val="0"/>
          <w:lang w:val="en-US" w:eastAsia="zh-CN"/>
        </w:rPr>
        <w:t>].</w:t>
      </w:r>
      <w:r>
        <w:rPr>
          <w:rFonts w:hint="default" w:eastAsiaTheme="minorEastAsia"/>
          <w:b/>
          <w:bCs w:val="0"/>
          <w:lang w:val="en-US" w:eastAsia="zh-CN"/>
        </w:rPr>
        <w:t xml:space="preserve">vities to ensure that the tested </w:t>
      </w:r>
      <w:r>
        <w:rPr>
          <w:rFonts w:hint="eastAsia" w:eastAsiaTheme="minorEastAsia"/>
          <w:b/>
          <w:bCs w:val="0"/>
          <w:lang w:val="en-US" w:eastAsia="zh-CN"/>
        </w:rPr>
        <w:t>devices</w:t>
      </w:r>
      <w:r>
        <w:rPr>
          <w:rFonts w:hint="default" w:eastAsiaTheme="minorEastAsia"/>
          <w:b/>
          <w:bCs w:val="0"/>
          <w:lang w:val="en-US" w:eastAsia="zh-CN"/>
        </w:rPr>
        <w:t xml:space="preserve"> operates in the expected working state.</w:t>
      </w:r>
    </w:p>
    <w:p w14:paraId="2B2ED12E">
      <w:pPr>
        <w:jc w:val="both"/>
        <w:rPr>
          <w:rFonts w:hint="eastAsia" w:eastAsiaTheme="minorEastAsia"/>
          <w:b/>
          <w:bCs w:val="0"/>
          <w:lang w:val="en-US" w:eastAsia="zh-CN"/>
        </w:rPr>
      </w:pPr>
      <w:r>
        <w:rPr>
          <w:rFonts w:hint="eastAsia" w:eastAsiaTheme="minorEastAsia"/>
          <w:b/>
          <w:bCs/>
          <w:lang w:eastAsia="zh-CN"/>
        </w:rPr>
        <w:t xml:space="preserve">Proposal </w:t>
      </w:r>
      <w:r>
        <w:rPr>
          <w:rFonts w:hint="eastAsia" w:eastAsiaTheme="minorEastAsia"/>
          <w:b/>
          <w:bCs/>
          <w:lang w:val="en-US" w:eastAsia="zh-CN"/>
        </w:rPr>
        <w:t>5</w:t>
      </w:r>
      <w:r>
        <w:rPr>
          <w:rFonts w:hint="eastAsia" w:eastAsiaTheme="minorEastAsia"/>
          <w:b/>
          <w:bCs/>
          <w:lang w:eastAsia="zh-CN"/>
        </w:rPr>
        <w:t>:</w:t>
      </w:r>
      <w:r>
        <w:rPr>
          <w:rFonts w:hint="eastAsia" w:eastAsiaTheme="minorEastAsia"/>
          <w:b/>
          <w:bCs/>
          <w:lang w:val="en-US" w:eastAsia="zh-CN"/>
        </w:rPr>
        <w:t xml:space="preserve"> I</w:t>
      </w:r>
      <w:r>
        <w:rPr>
          <w:rFonts w:hint="eastAsia" w:eastAsiaTheme="minorEastAsia"/>
          <w:b/>
          <w:bCs/>
          <w:lang w:eastAsia="zh-CN"/>
        </w:rPr>
        <w:t xml:space="preserve">t is recommended to select </w:t>
      </w:r>
      <w:r>
        <w:rPr>
          <w:rFonts w:eastAsiaTheme="minorEastAsia"/>
          <w:b/>
          <w:bCs/>
          <w:lang w:eastAsia="zh-CN"/>
        </w:rPr>
        <w:t>n3, n</w:t>
      </w:r>
      <w:r>
        <w:rPr>
          <w:rFonts w:hint="eastAsia" w:eastAsiaTheme="minorEastAsia"/>
          <w:b/>
          <w:bCs/>
          <w:lang w:val="en-US" w:eastAsia="zh-CN"/>
        </w:rPr>
        <w:t>5</w:t>
      </w:r>
      <w:r>
        <w:rPr>
          <w:rFonts w:eastAsiaTheme="minorEastAsia"/>
          <w:b/>
          <w:bCs/>
          <w:lang w:eastAsia="zh-CN"/>
        </w:rPr>
        <w:t xml:space="preserve">, </w:t>
      </w:r>
      <w:r>
        <w:rPr>
          <w:rFonts w:hint="eastAsia" w:eastAsiaTheme="minorEastAsia"/>
          <w:b/>
          <w:bCs/>
          <w:lang w:val="en-US" w:eastAsia="zh-CN"/>
        </w:rPr>
        <w:t xml:space="preserve">n7, </w:t>
      </w:r>
      <w:r>
        <w:rPr>
          <w:rFonts w:hint="eastAsia" w:eastAsiaTheme="minorEastAsia"/>
          <w:b/>
          <w:bCs/>
          <w:lang w:eastAsia="zh-CN"/>
        </w:rPr>
        <w:t>n8</w:t>
      </w:r>
      <w:r>
        <w:rPr>
          <w:rFonts w:hint="eastAsia" w:eastAsiaTheme="minorEastAsia"/>
          <w:b/>
          <w:bCs/>
          <w:lang w:val="en-US" w:eastAsia="zh-CN"/>
        </w:rPr>
        <w:t xml:space="preserve"> </w:t>
      </w:r>
      <w:r>
        <w:rPr>
          <w:rFonts w:hint="eastAsia" w:eastAsiaTheme="minorEastAsia"/>
          <w:b/>
          <w:bCs/>
          <w:lang w:eastAsia="zh-CN"/>
        </w:rPr>
        <w:t xml:space="preserve">as four target bands </w:t>
      </w:r>
      <w:r>
        <w:rPr>
          <w:rFonts w:hint="eastAsia" w:eastAsiaTheme="minorEastAsia"/>
          <w:b/>
          <w:bCs/>
          <w:lang w:val="en-US" w:eastAsia="zh-CN"/>
        </w:rPr>
        <w:t>for</w:t>
      </w:r>
      <w:r>
        <w:rPr>
          <w:rFonts w:hint="eastAsia" w:eastAsiaTheme="minorEastAsia"/>
          <w:b/>
          <w:bCs/>
          <w:lang w:eastAsia="zh-CN"/>
        </w:rPr>
        <w:t xml:space="preserve"> </w:t>
      </w:r>
      <w:r>
        <w:rPr>
          <w:rFonts w:hint="eastAsia" w:eastAsiaTheme="minorEastAsia"/>
          <w:b/>
          <w:bCs/>
          <w:lang w:val="en-US" w:eastAsia="zh-CN"/>
        </w:rPr>
        <w:t>1Tx</w:t>
      </w:r>
      <w:r>
        <w:rPr>
          <w:rFonts w:hint="eastAsia" w:eastAsiaTheme="minorEastAsia"/>
          <w:b/>
          <w:bCs/>
          <w:lang w:eastAsia="zh-CN"/>
        </w:rPr>
        <w:t xml:space="preserve"> </w:t>
      </w:r>
      <w:r>
        <w:rPr>
          <w:rFonts w:eastAsiaTheme="minorEastAsia"/>
          <w:b/>
          <w:bCs/>
          <w:lang w:eastAsia="zh-CN"/>
        </w:rPr>
        <w:t>requirement</w:t>
      </w:r>
      <w:r>
        <w:rPr>
          <w:rFonts w:hint="eastAsia" w:eastAsiaTheme="minorEastAsia"/>
          <w:b/>
          <w:bCs/>
          <w:lang w:eastAsia="zh-CN"/>
        </w:rPr>
        <w:t xml:space="preserve">s in Rel-19. </w:t>
      </w:r>
    </w:p>
    <w:p w14:paraId="5EEE4E53">
      <w:pPr>
        <w:pStyle w:val="2"/>
        <w:ind w:left="0" w:firstLine="0"/>
      </w:pPr>
      <w:r>
        <w:t>References</w:t>
      </w:r>
    </w:p>
    <w:bookmarkEnd w:id="1"/>
    <w:bookmarkEnd w:id="2"/>
    <w:bookmarkEnd w:id="3"/>
    <w:p w14:paraId="73004207">
      <w:pPr>
        <w:pStyle w:val="40"/>
        <w:numPr>
          <w:ilvl w:val="0"/>
          <w:numId w:val="5"/>
        </w:numPr>
        <w:ind w:firstLineChars="0"/>
        <w:rPr>
          <w:rFonts w:hint="eastAsia" w:eastAsia="Malgun Gothic"/>
          <w:sz w:val="20"/>
          <w:szCs w:val="20"/>
          <w:lang w:val="en-US" w:eastAsia="zh-CN"/>
        </w:rPr>
      </w:pPr>
      <w:r>
        <w:rPr>
          <w:rFonts w:hint="eastAsia" w:eastAsia="Malgun Gothic"/>
          <w:sz w:val="20"/>
          <w:szCs w:val="20"/>
          <w:lang w:val="en-US" w:eastAsia="zh-CN"/>
        </w:rPr>
        <w:t xml:space="preserve">R4-2412056, Updated Workplan of Rel-19 FR1 OTA WI, vivo, CAICT </w:t>
      </w:r>
    </w:p>
    <w:p w14:paraId="7F1423BA">
      <w:pPr>
        <w:pStyle w:val="40"/>
        <w:numPr>
          <w:ilvl w:val="0"/>
          <w:numId w:val="5"/>
        </w:numPr>
        <w:ind w:firstLineChars="0"/>
        <w:rPr>
          <w:rFonts w:hint="eastAsia" w:eastAsia="Malgun Gothic"/>
          <w:sz w:val="20"/>
          <w:szCs w:val="20"/>
          <w:lang w:val="en-US" w:eastAsia="zh-CN"/>
        </w:rPr>
      </w:pPr>
      <w:r>
        <w:rPr>
          <w:rFonts w:hint="eastAsia"/>
          <w:sz w:val="20"/>
          <w:szCs w:val="20"/>
          <w:lang w:val="en-US" w:eastAsia="zh-CN"/>
        </w:rPr>
        <w:t>R4-2502370, WF for [112][323] TRP_TRS_ph3, vivo</w:t>
      </w:r>
    </w:p>
    <w:p w14:paraId="0F1EA662">
      <w:pPr>
        <w:pStyle w:val="40"/>
        <w:numPr>
          <w:ilvl w:val="0"/>
          <w:numId w:val="5"/>
        </w:numPr>
        <w:ind w:firstLineChars="0"/>
        <w:rPr>
          <w:rFonts w:hint="eastAsia" w:eastAsia="Malgun Gothic"/>
          <w:sz w:val="20"/>
          <w:szCs w:val="20"/>
          <w:lang w:val="en-US" w:eastAsia="zh-CN"/>
        </w:rPr>
      </w:pPr>
      <w:r>
        <w:rPr>
          <w:rFonts w:hint="eastAsia" w:eastAsia="Malgun Gothic"/>
          <w:sz w:val="20"/>
          <w:szCs w:val="20"/>
          <w:lang w:val="en-US" w:eastAsia="zh-CN"/>
        </w:rPr>
        <w:t>R4-2415777, Working procedure for Rel-19 2Tx lab alignment and UE performance measurement campaign, vivo</w:t>
      </w:r>
    </w:p>
    <w:p w14:paraId="5FBAD363">
      <w:pPr>
        <w:pStyle w:val="40"/>
        <w:numPr>
          <w:ilvl w:val="0"/>
          <w:numId w:val="0"/>
        </w:numPr>
        <w:ind w:leftChars="0"/>
        <w:rPr>
          <w:rFonts w:hint="eastAsia" w:eastAsia="Malgun Gothic"/>
          <w:sz w:val="20"/>
          <w:szCs w:val="20"/>
          <w:lang w:val="en-US" w:eastAsia="zh-CN"/>
        </w:rPr>
      </w:pPr>
    </w:p>
    <w:sectPr>
      <w:pgSz w:w="11906" w:h="16838"/>
      <w:pgMar w:top="1418"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Roboto Condensed">
    <w:altName w:val="Segoe Print"/>
    <w:panose1 w:val="00000000000000000000"/>
    <w:charset w:val="00"/>
    <w:family w:val="auto"/>
    <w:pitch w:val="default"/>
    <w:sig w:usb0="00000000" w:usb1="00000000" w:usb2="00000021" w:usb3="00000000" w:csb0="0000019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Wingdings">
    <w:panose1 w:val="05000000000000000000"/>
    <w:charset w:val="00"/>
    <w:family w:val="auto"/>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4D86CD"/>
    <w:multiLevelType w:val="singleLevel"/>
    <w:tmpl w:val="9F4D86CD"/>
    <w:lvl w:ilvl="0" w:tentative="0">
      <w:start w:val="1"/>
      <w:numFmt w:val="bullet"/>
      <w:lvlText w:val=""/>
      <w:lvlJc w:val="left"/>
      <w:pPr>
        <w:ind w:left="420" w:hanging="420"/>
      </w:pPr>
      <w:rPr>
        <w:rFonts w:hint="default" w:ascii="Wingdings" w:hAnsi="Wingdings"/>
      </w:rPr>
    </w:lvl>
  </w:abstractNum>
  <w:abstractNum w:abstractNumId="1">
    <w:nsid w:val="00DB08AA"/>
    <w:multiLevelType w:val="multilevel"/>
    <w:tmpl w:val="00DB08A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
      <w:lvlJc w:val="left"/>
      <w:pPr>
        <w:ind w:left="3816" w:hanging="360"/>
      </w:pPr>
      <w:rPr>
        <w:rFonts w:hint="default" w:ascii="Symbol" w:hAnsi="Symbol"/>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5EAD628A"/>
    <w:multiLevelType w:val="multilevel"/>
    <w:tmpl w:val="5EAD628A"/>
    <w:lvl w:ilvl="0" w:tentative="0">
      <w:start w:val="1"/>
      <w:numFmt w:val="decimal"/>
      <w:lvlText w:val="%1."/>
      <w:lvlJc w:val="left"/>
      <w:pPr>
        <w:ind w:left="720" w:hanging="360"/>
      </w:pPr>
      <w:rPr>
        <w:rFonts w:hint="eastAsia"/>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FC0025F"/>
    <w:multiLevelType w:val="multilevel"/>
    <w:tmpl w:val="5FC0025F"/>
    <w:lvl w:ilvl="0" w:tentative="0">
      <w:start w:val="1"/>
      <w:numFmt w:val="decimal"/>
      <w:lvlText w:val="%1."/>
      <w:lvlJc w:val="left"/>
      <w:pPr>
        <w:ind w:left="2340" w:hanging="360"/>
      </w:pPr>
    </w:lvl>
    <w:lvl w:ilvl="1" w:tentative="0">
      <w:start w:val="1"/>
      <w:numFmt w:val="lowerLetter"/>
      <w:lvlText w:val="%2."/>
      <w:lvlJc w:val="left"/>
      <w:pPr>
        <w:ind w:left="3060" w:hanging="360"/>
      </w:pPr>
    </w:lvl>
    <w:lvl w:ilvl="2" w:tentative="0">
      <w:start w:val="1"/>
      <w:numFmt w:val="lowerRoman"/>
      <w:lvlText w:val="%3."/>
      <w:lvlJc w:val="right"/>
      <w:pPr>
        <w:ind w:left="3780" w:hanging="180"/>
      </w:pPr>
    </w:lvl>
    <w:lvl w:ilvl="3" w:tentative="0">
      <w:start w:val="1"/>
      <w:numFmt w:val="decimal"/>
      <w:lvlText w:val="%4."/>
      <w:lvlJc w:val="left"/>
      <w:pPr>
        <w:ind w:left="4500" w:hanging="360"/>
      </w:pPr>
    </w:lvl>
    <w:lvl w:ilvl="4" w:tentative="0">
      <w:start w:val="1"/>
      <w:numFmt w:val="lowerLetter"/>
      <w:lvlText w:val="%5."/>
      <w:lvlJc w:val="left"/>
      <w:pPr>
        <w:ind w:left="5220" w:hanging="360"/>
      </w:pPr>
    </w:lvl>
    <w:lvl w:ilvl="5" w:tentative="0">
      <w:start w:val="1"/>
      <w:numFmt w:val="lowerRoman"/>
      <w:lvlText w:val="%6."/>
      <w:lvlJc w:val="right"/>
      <w:pPr>
        <w:ind w:left="5940" w:hanging="180"/>
      </w:pPr>
    </w:lvl>
    <w:lvl w:ilvl="6" w:tentative="0">
      <w:start w:val="1"/>
      <w:numFmt w:val="decimal"/>
      <w:lvlText w:val="%7."/>
      <w:lvlJc w:val="left"/>
      <w:pPr>
        <w:ind w:left="6660" w:hanging="360"/>
      </w:pPr>
    </w:lvl>
    <w:lvl w:ilvl="7" w:tentative="0">
      <w:start w:val="1"/>
      <w:numFmt w:val="lowerLetter"/>
      <w:lvlText w:val="%8."/>
      <w:lvlJc w:val="left"/>
      <w:pPr>
        <w:ind w:left="7380" w:hanging="360"/>
      </w:pPr>
    </w:lvl>
    <w:lvl w:ilvl="8" w:tentative="0">
      <w:start w:val="1"/>
      <w:numFmt w:val="lowerRoman"/>
      <w:lvlText w:val="%9."/>
      <w:lvlJc w:val="right"/>
      <w:pPr>
        <w:ind w:left="8100" w:hanging="180"/>
      </w:pPr>
    </w:lvl>
  </w:abstractNum>
  <w:num w:numId="1">
    <w:abstractNumId w:val="0"/>
  </w:num>
  <w:num w:numId="2">
    <w:abstractNumId w:val="3"/>
  </w:num>
  <w:num w:numId="3">
    <w:abstractNumId w:val="4"/>
  </w:num>
  <w:num w:numId="4">
    <w:abstractNumId w:val="2"/>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E94"/>
    <w:rsid w:val="000964E7"/>
    <w:rsid w:val="000A0775"/>
    <w:rsid w:val="000A2233"/>
    <w:rsid w:val="000A7686"/>
    <w:rsid w:val="000B5858"/>
    <w:rsid w:val="000C1100"/>
    <w:rsid w:val="000C2DEB"/>
    <w:rsid w:val="000C65C1"/>
    <w:rsid w:val="000D1056"/>
    <w:rsid w:val="000D362A"/>
    <w:rsid w:val="000D59C0"/>
    <w:rsid w:val="000E28E8"/>
    <w:rsid w:val="000F0044"/>
    <w:rsid w:val="000F3E72"/>
    <w:rsid w:val="001000AF"/>
    <w:rsid w:val="00100503"/>
    <w:rsid w:val="0010439D"/>
    <w:rsid w:val="001225F6"/>
    <w:rsid w:val="00141BF1"/>
    <w:rsid w:val="00144123"/>
    <w:rsid w:val="00151501"/>
    <w:rsid w:val="00156BDE"/>
    <w:rsid w:val="0016273C"/>
    <w:rsid w:val="0017092D"/>
    <w:rsid w:val="00171AE5"/>
    <w:rsid w:val="0017229F"/>
    <w:rsid w:val="0017301E"/>
    <w:rsid w:val="00174A6C"/>
    <w:rsid w:val="0018719D"/>
    <w:rsid w:val="001A0504"/>
    <w:rsid w:val="001A13BD"/>
    <w:rsid w:val="001A31E8"/>
    <w:rsid w:val="001A4FDB"/>
    <w:rsid w:val="001A6522"/>
    <w:rsid w:val="001A7715"/>
    <w:rsid w:val="001B1FFA"/>
    <w:rsid w:val="001B2F4D"/>
    <w:rsid w:val="001B7F80"/>
    <w:rsid w:val="001D0CF9"/>
    <w:rsid w:val="001D73F4"/>
    <w:rsid w:val="001F268F"/>
    <w:rsid w:val="001F301B"/>
    <w:rsid w:val="002065BE"/>
    <w:rsid w:val="002119D0"/>
    <w:rsid w:val="002120CF"/>
    <w:rsid w:val="002126DF"/>
    <w:rsid w:val="0021327A"/>
    <w:rsid w:val="00232A3A"/>
    <w:rsid w:val="00235E80"/>
    <w:rsid w:val="00237655"/>
    <w:rsid w:val="002466E6"/>
    <w:rsid w:val="0025118E"/>
    <w:rsid w:val="00253104"/>
    <w:rsid w:val="00254A3E"/>
    <w:rsid w:val="0025623D"/>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52079"/>
    <w:rsid w:val="00360871"/>
    <w:rsid w:val="00362343"/>
    <w:rsid w:val="003667CC"/>
    <w:rsid w:val="00374E84"/>
    <w:rsid w:val="003752D5"/>
    <w:rsid w:val="00376F87"/>
    <w:rsid w:val="003777F7"/>
    <w:rsid w:val="003778C3"/>
    <w:rsid w:val="00391F24"/>
    <w:rsid w:val="0039780B"/>
    <w:rsid w:val="003A07AB"/>
    <w:rsid w:val="003A26B0"/>
    <w:rsid w:val="003A54A1"/>
    <w:rsid w:val="003B1667"/>
    <w:rsid w:val="003E3026"/>
    <w:rsid w:val="003E3E59"/>
    <w:rsid w:val="003E6418"/>
    <w:rsid w:val="003F2BF5"/>
    <w:rsid w:val="00413E93"/>
    <w:rsid w:val="00415CDF"/>
    <w:rsid w:val="00415E36"/>
    <w:rsid w:val="00420E3E"/>
    <w:rsid w:val="00422143"/>
    <w:rsid w:val="00430BAC"/>
    <w:rsid w:val="004361BC"/>
    <w:rsid w:val="0044202D"/>
    <w:rsid w:val="00451F93"/>
    <w:rsid w:val="00451FF9"/>
    <w:rsid w:val="00454687"/>
    <w:rsid w:val="004602EC"/>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30EB1"/>
    <w:rsid w:val="00541302"/>
    <w:rsid w:val="00542FA2"/>
    <w:rsid w:val="00546426"/>
    <w:rsid w:val="005531D9"/>
    <w:rsid w:val="00555D67"/>
    <w:rsid w:val="00556899"/>
    <w:rsid w:val="0056006F"/>
    <w:rsid w:val="00564887"/>
    <w:rsid w:val="00577049"/>
    <w:rsid w:val="00577EBD"/>
    <w:rsid w:val="0058296D"/>
    <w:rsid w:val="005859C3"/>
    <w:rsid w:val="0059447C"/>
    <w:rsid w:val="005B27AF"/>
    <w:rsid w:val="005E1A39"/>
    <w:rsid w:val="005F4EBD"/>
    <w:rsid w:val="005F6D46"/>
    <w:rsid w:val="0060177A"/>
    <w:rsid w:val="0060186C"/>
    <w:rsid w:val="006079A2"/>
    <w:rsid w:val="00614A0F"/>
    <w:rsid w:val="00616F03"/>
    <w:rsid w:val="0061761F"/>
    <w:rsid w:val="00622125"/>
    <w:rsid w:val="00624CB3"/>
    <w:rsid w:val="0062664E"/>
    <w:rsid w:val="00630879"/>
    <w:rsid w:val="00630A72"/>
    <w:rsid w:val="0063320D"/>
    <w:rsid w:val="00635045"/>
    <w:rsid w:val="00637645"/>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E73F6"/>
    <w:rsid w:val="006F6ED1"/>
    <w:rsid w:val="00705BEE"/>
    <w:rsid w:val="007060DC"/>
    <w:rsid w:val="00707BF3"/>
    <w:rsid w:val="00712AD1"/>
    <w:rsid w:val="00714B51"/>
    <w:rsid w:val="00723368"/>
    <w:rsid w:val="0073076F"/>
    <w:rsid w:val="0073092F"/>
    <w:rsid w:val="007364D2"/>
    <w:rsid w:val="007458DE"/>
    <w:rsid w:val="00750529"/>
    <w:rsid w:val="0075367C"/>
    <w:rsid w:val="00761F45"/>
    <w:rsid w:val="007702CD"/>
    <w:rsid w:val="0077796A"/>
    <w:rsid w:val="00783B45"/>
    <w:rsid w:val="00784BF9"/>
    <w:rsid w:val="007901E0"/>
    <w:rsid w:val="007A2A2C"/>
    <w:rsid w:val="007A587E"/>
    <w:rsid w:val="007B0485"/>
    <w:rsid w:val="007B0711"/>
    <w:rsid w:val="007B3929"/>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435D0"/>
    <w:rsid w:val="0084640C"/>
    <w:rsid w:val="00861A4E"/>
    <w:rsid w:val="00862D16"/>
    <w:rsid w:val="008663E0"/>
    <w:rsid w:val="008667B3"/>
    <w:rsid w:val="00867EB3"/>
    <w:rsid w:val="00867FFB"/>
    <w:rsid w:val="008764B3"/>
    <w:rsid w:val="0088309E"/>
    <w:rsid w:val="008948AC"/>
    <w:rsid w:val="008973D0"/>
    <w:rsid w:val="008B0CF9"/>
    <w:rsid w:val="008B61B0"/>
    <w:rsid w:val="008D4DFB"/>
    <w:rsid w:val="008F11B8"/>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60331"/>
    <w:rsid w:val="0096218E"/>
    <w:rsid w:val="00965A9D"/>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D5C85"/>
    <w:rsid w:val="009D720A"/>
    <w:rsid w:val="009E2EAA"/>
    <w:rsid w:val="009F5CB3"/>
    <w:rsid w:val="009F6F0E"/>
    <w:rsid w:val="00A1119C"/>
    <w:rsid w:val="00A16C93"/>
    <w:rsid w:val="00A17370"/>
    <w:rsid w:val="00A23701"/>
    <w:rsid w:val="00A318B7"/>
    <w:rsid w:val="00A411BC"/>
    <w:rsid w:val="00A51E72"/>
    <w:rsid w:val="00A52B0B"/>
    <w:rsid w:val="00A562D4"/>
    <w:rsid w:val="00A569F2"/>
    <w:rsid w:val="00A6190B"/>
    <w:rsid w:val="00A70DC6"/>
    <w:rsid w:val="00A7332D"/>
    <w:rsid w:val="00A76F60"/>
    <w:rsid w:val="00A82246"/>
    <w:rsid w:val="00AA1FD9"/>
    <w:rsid w:val="00AA3448"/>
    <w:rsid w:val="00AB0796"/>
    <w:rsid w:val="00AB4B16"/>
    <w:rsid w:val="00AC438B"/>
    <w:rsid w:val="00AC5500"/>
    <w:rsid w:val="00AD1848"/>
    <w:rsid w:val="00AF186B"/>
    <w:rsid w:val="00AF5184"/>
    <w:rsid w:val="00AF6434"/>
    <w:rsid w:val="00B0279E"/>
    <w:rsid w:val="00B04297"/>
    <w:rsid w:val="00B06C06"/>
    <w:rsid w:val="00B11AA1"/>
    <w:rsid w:val="00B243CE"/>
    <w:rsid w:val="00B31185"/>
    <w:rsid w:val="00B31885"/>
    <w:rsid w:val="00B318BA"/>
    <w:rsid w:val="00B3283A"/>
    <w:rsid w:val="00B32C8F"/>
    <w:rsid w:val="00B35B4D"/>
    <w:rsid w:val="00B36822"/>
    <w:rsid w:val="00B5148D"/>
    <w:rsid w:val="00B55E72"/>
    <w:rsid w:val="00B56535"/>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2373F"/>
    <w:rsid w:val="00C301EC"/>
    <w:rsid w:val="00C3301A"/>
    <w:rsid w:val="00C343FC"/>
    <w:rsid w:val="00C3547B"/>
    <w:rsid w:val="00C40C59"/>
    <w:rsid w:val="00C435BE"/>
    <w:rsid w:val="00C466C4"/>
    <w:rsid w:val="00C5425B"/>
    <w:rsid w:val="00C74B7C"/>
    <w:rsid w:val="00C76EE9"/>
    <w:rsid w:val="00C92A28"/>
    <w:rsid w:val="00C93434"/>
    <w:rsid w:val="00C9476F"/>
    <w:rsid w:val="00CA2352"/>
    <w:rsid w:val="00CA6A99"/>
    <w:rsid w:val="00CA7703"/>
    <w:rsid w:val="00CB375D"/>
    <w:rsid w:val="00CB6DC1"/>
    <w:rsid w:val="00CC295D"/>
    <w:rsid w:val="00CD4BFE"/>
    <w:rsid w:val="00CD526F"/>
    <w:rsid w:val="00CE0009"/>
    <w:rsid w:val="00D0549C"/>
    <w:rsid w:val="00D15B03"/>
    <w:rsid w:val="00D16BEC"/>
    <w:rsid w:val="00D170AB"/>
    <w:rsid w:val="00D22244"/>
    <w:rsid w:val="00D2426F"/>
    <w:rsid w:val="00D27914"/>
    <w:rsid w:val="00D43C75"/>
    <w:rsid w:val="00D44BE8"/>
    <w:rsid w:val="00D52A15"/>
    <w:rsid w:val="00D53B35"/>
    <w:rsid w:val="00D673D6"/>
    <w:rsid w:val="00D739A9"/>
    <w:rsid w:val="00D77230"/>
    <w:rsid w:val="00D84D55"/>
    <w:rsid w:val="00D947E3"/>
    <w:rsid w:val="00DA4C6D"/>
    <w:rsid w:val="00DA5360"/>
    <w:rsid w:val="00DA5592"/>
    <w:rsid w:val="00DA59DB"/>
    <w:rsid w:val="00DB2CB9"/>
    <w:rsid w:val="00DC21A6"/>
    <w:rsid w:val="00DD0020"/>
    <w:rsid w:val="00DE587B"/>
    <w:rsid w:val="00DE6371"/>
    <w:rsid w:val="00DF3083"/>
    <w:rsid w:val="00DF49A6"/>
    <w:rsid w:val="00E010F9"/>
    <w:rsid w:val="00E02121"/>
    <w:rsid w:val="00E025AE"/>
    <w:rsid w:val="00E05BC3"/>
    <w:rsid w:val="00E07D24"/>
    <w:rsid w:val="00E128B9"/>
    <w:rsid w:val="00E14613"/>
    <w:rsid w:val="00E25775"/>
    <w:rsid w:val="00E44370"/>
    <w:rsid w:val="00E57E3D"/>
    <w:rsid w:val="00E65B40"/>
    <w:rsid w:val="00E67E53"/>
    <w:rsid w:val="00E67EBF"/>
    <w:rsid w:val="00E83332"/>
    <w:rsid w:val="00E92A03"/>
    <w:rsid w:val="00E93BBA"/>
    <w:rsid w:val="00E94B1A"/>
    <w:rsid w:val="00E97B91"/>
    <w:rsid w:val="00EA5DE2"/>
    <w:rsid w:val="00EA6725"/>
    <w:rsid w:val="00EA7742"/>
    <w:rsid w:val="00EC036C"/>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6206"/>
    <w:rsid w:val="00F63CED"/>
    <w:rsid w:val="00F66653"/>
    <w:rsid w:val="00F67320"/>
    <w:rsid w:val="00F6772F"/>
    <w:rsid w:val="00F739F4"/>
    <w:rsid w:val="00F811B5"/>
    <w:rsid w:val="00F85D87"/>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 w:val="01207B0A"/>
    <w:rsid w:val="02252C42"/>
    <w:rsid w:val="02B7624C"/>
    <w:rsid w:val="02D2752A"/>
    <w:rsid w:val="04C9495C"/>
    <w:rsid w:val="04E946B9"/>
    <w:rsid w:val="05333EBB"/>
    <w:rsid w:val="062C0CFF"/>
    <w:rsid w:val="06DA35FE"/>
    <w:rsid w:val="06FC4B75"/>
    <w:rsid w:val="07D72EEC"/>
    <w:rsid w:val="0B09160F"/>
    <w:rsid w:val="0B0A4BEC"/>
    <w:rsid w:val="0B416FFB"/>
    <w:rsid w:val="0D42705A"/>
    <w:rsid w:val="0DCF28BA"/>
    <w:rsid w:val="0F372FF9"/>
    <w:rsid w:val="104D01F0"/>
    <w:rsid w:val="10AA0E51"/>
    <w:rsid w:val="115C61ED"/>
    <w:rsid w:val="14131750"/>
    <w:rsid w:val="15E346C1"/>
    <w:rsid w:val="16161084"/>
    <w:rsid w:val="1720040C"/>
    <w:rsid w:val="182A67AD"/>
    <w:rsid w:val="19652BCB"/>
    <w:rsid w:val="19E913AB"/>
    <w:rsid w:val="19ED659F"/>
    <w:rsid w:val="1A0A1CE0"/>
    <w:rsid w:val="1A1104E0"/>
    <w:rsid w:val="1CCB2BC8"/>
    <w:rsid w:val="1DE06B47"/>
    <w:rsid w:val="1F1330A4"/>
    <w:rsid w:val="1F211421"/>
    <w:rsid w:val="1F3F164B"/>
    <w:rsid w:val="223C6316"/>
    <w:rsid w:val="26270314"/>
    <w:rsid w:val="27FA6A57"/>
    <w:rsid w:val="29B95BC6"/>
    <w:rsid w:val="29FD5367"/>
    <w:rsid w:val="2BAA2CF4"/>
    <w:rsid w:val="2BDB094E"/>
    <w:rsid w:val="2C6A44EB"/>
    <w:rsid w:val="2D3227EF"/>
    <w:rsid w:val="2D8D5C78"/>
    <w:rsid w:val="2FE62223"/>
    <w:rsid w:val="31422411"/>
    <w:rsid w:val="34572B3B"/>
    <w:rsid w:val="36BC1970"/>
    <w:rsid w:val="372F4799"/>
    <w:rsid w:val="375D41C0"/>
    <w:rsid w:val="379A790F"/>
    <w:rsid w:val="37E312B6"/>
    <w:rsid w:val="3869010C"/>
    <w:rsid w:val="39225E0E"/>
    <w:rsid w:val="3ADE5D64"/>
    <w:rsid w:val="3B5D4EDB"/>
    <w:rsid w:val="3DF210E6"/>
    <w:rsid w:val="3E286C4C"/>
    <w:rsid w:val="3F0142EA"/>
    <w:rsid w:val="3FE61943"/>
    <w:rsid w:val="42982C9D"/>
    <w:rsid w:val="44953938"/>
    <w:rsid w:val="455B6F58"/>
    <w:rsid w:val="468160C4"/>
    <w:rsid w:val="4BFE6267"/>
    <w:rsid w:val="4DB72B71"/>
    <w:rsid w:val="520E0F94"/>
    <w:rsid w:val="52551E4F"/>
    <w:rsid w:val="539354E6"/>
    <w:rsid w:val="5402188F"/>
    <w:rsid w:val="56B75990"/>
    <w:rsid w:val="575842A9"/>
    <w:rsid w:val="6578278E"/>
    <w:rsid w:val="67104F71"/>
    <w:rsid w:val="6DFC7777"/>
    <w:rsid w:val="70903082"/>
    <w:rsid w:val="71A36941"/>
    <w:rsid w:val="71EC253A"/>
    <w:rsid w:val="73C61F74"/>
    <w:rsid w:val="74BA5628"/>
    <w:rsid w:val="76017919"/>
    <w:rsid w:val="77A779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3"/>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3"/>
    <w:next w:val="1"/>
    <w:link w:val="31"/>
    <w:semiHidden/>
    <w:unhideWhenUsed/>
    <w:qFormat/>
    <w:uiPriority w:val="9"/>
    <w:pPr>
      <w:keepNext/>
      <w:keepLines/>
      <w:spacing w:before="260" w:after="260" w:line="416" w:lineRule="auto"/>
      <w:outlineLvl w:val="2"/>
    </w:pPr>
    <w:rPr>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7"/>
    <w:unhideWhenUsed/>
    <w:qFormat/>
    <w:uiPriority w:val="0"/>
  </w:style>
  <w:style w:type="paragraph" w:styleId="6">
    <w:name w:val="footer"/>
    <w:basedOn w:val="1"/>
    <w:link w:val="21"/>
    <w:unhideWhenUsed/>
    <w:qFormat/>
    <w:uiPriority w:val="99"/>
    <w:pPr>
      <w:tabs>
        <w:tab w:val="center" w:pos="4153"/>
        <w:tab w:val="right" w:pos="8306"/>
      </w:tabs>
      <w:snapToGrid w:val="0"/>
    </w:pPr>
    <w:rPr>
      <w:sz w:val="18"/>
      <w:szCs w:val="18"/>
    </w:rPr>
  </w:style>
  <w:style w:type="paragraph" w:styleId="7">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character" w:customStyle="1" w:styleId="12">
    <w:name w:val="标题 1 字符"/>
    <w:basedOn w:val="10"/>
    <w:qFormat/>
    <w:uiPriority w:val="9"/>
    <w:rPr>
      <w:rFonts w:ascii="Times New Roman" w:hAnsi="Times New Roman" w:eastAsia="Times New Roman" w:cs="Times New Roman"/>
      <w:b/>
      <w:bCs/>
      <w:kern w:val="44"/>
      <w:sz w:val="44"/>
      <w:szCs w:val="44"/>
      <w:lang w:val="en-GB" w:eastAsia="en-GB"/>
    </w:rPr>
  </w:style>
  <w:style w:type="character" w:customStyle="1" w:styleId="13">
    <w:name w:val="标题 1 字符1"/>
    <w:link w:val="2"/>
    <w:qFormat/>
    <w:uiPriority w:val="0"/>
    <w:rPr>
      <w:rFonts w:ascii="Arial" w:hAnsi="Arial" w:eastAsia="Times New Roman" w:cs="Times New Roman"/>
      <w:kern w:val="0"/>
      <w:sz w:val="36"/>
      <w:szCs w:val="20"/>
      <w:lang w:val="en-GB" w:eastAsia="en-GB"/>
    </w:rPr>
  </w:style>
  <w:style w:type="paragraph" w:customStyle="1" w:styleId="14">
    <w:name w:val="EX"/>
    <w:basedOn w:val="1"/>
    <w:link w:val="15"/>
    <w:qFormat/>
    <w:uiPriority w:val="0"/>
    <w:pPr>
      <w:keepLines/>
      <w:overflowPunct/>
      <w:autoSpaceDE/>
      <w:autoSpaceDN/>
      <w:adjustRightInd/>
      <w:ind w:left="1702" w:hanging="1418"/>
      <w:textAlignment w:val="auto"/>
    </w:pPr>
    <w:rPr>
      <w:rFonts w:eastAsia="MS Mincho"/>
      <w:lang w:eastAsia="en-US"/>
    </w:rPr>
  </w:style>
  <w:style w:type="character" w:customStyle="1" w:styleId="15">
    <w:name w:val="EX Char"/>
    <w:link w:val="14"/>
    <w:qFormat/>
    <w:uiPriority w:val="0"/>
    <w:rPr>
      <w:rFonts w:ascii="Times New Roman" w:hAnsi="Times New Roman" w:eastAsia="MS Mincho" w:cs="Times New Roman"/>
      <w:kern w:val="0"/>
      <w:sz w:val="20"/>
      <w:szCs w:val="20"/>
      <w:lang w:val="en-GB" w:eastAsia="en-US"/>
    </w:rPr>
  </w:style>
  <w:style w:type="paragraph" w:styleId="16">
    <w:name w:val="List Paragraph"/>
    <w:basedOn w:val="1"/>
    <w:link w:val="18"/>
    <w:qFormat/>
    <w:uiPriority w:val="34"/>
    <w:pPr>
      <w:ind w:firstLine="420" w:firstLineChars="200"/>
    </w:pPr>
  </w:style>
  <w:style w:type="character" w:customStyle="1" w:styleId="17">
    <w:name w:val="批注文字 字符"/>
    <w:basedOn w:val="10"/>
    <w:link w:val="5"/>
    <w:qFormat/>
    <w:uiPriority w:val="0"/>
    <w:rPr>
      <w:rFonts w:ascii="Times New Roman" w:hAnsi="Times New Roman" w:eastAsia="Times New Roman" w:cs="Times New Roman"/>
      <w:kern w:val="0"/>
      <w:sz w:val="20"/>
      <w:szCs w:val="20"/>
      <w:lang w:val="en-GB" w:eastAsia="en-GB"/>
    </w:rPr>
  </w:style>
  <w:style w:type="character" w:customStyle="1" w:styleId="18">
    <w:name w:val="列表段落 字符"/>
    <w:link w:val="16"/>
    <w:qFormat/>
    <w:locked/>
    <w:uiPriority w:val="34"/>
    <w:rPr>
      <w:rFonts w:ascii="Times New Roman" w:hAnsi="Times New Roman" w:eastAsia="Times New Roman" w:cs="Times New Roman"/>
      <w:kern w:val="0"/>
      <w:sz w:val="20"/>
      <w:szCs w:val="20"/>
      <w:lang w:val="en-GB" w:eastAsia="en-GB"/>
    </w:rPr>
  </w:style>
  <w:style w:type="paragraph" w:customStyle="1" w:styleId="19">
    <w:name w:val="NO"/>
    <w:basedOn w:val="1"/>
    <w:qFormat/>
    <w:uiPriority w:val="0"/>
    <w:pPr>
      <w:keepLines/>
      <w:ind w:left="1135" w:hanging="851"/>
      <w:textAlignment w:val="auto"/>
    </w:pPr>
    <w:rPr>
      <w:rFonts w:eastAsia="宋体"/>
    </w:rPr>
  </w:style>
  <w:style w:type="character" w:customStyle="1" w:styleId="20">
    <w:name w:val="页眉 字符"/>
    <w:basedOn w:val="10"/>
    <w:link w:val="7"/>
    <w:qFormat/>
    <w:uiPriority w:val="99"/>
    <w:rPr>
      <w:rFonts w:ascii="Times New Roman" w:hAnsi="Times New Roman" w:eastAsia="Times New Roman" w:cs="Times New Roman"/>
      <w:kern w:val="0"/>
      <w:sz w:val="18"/>
      <w:szCs w:val="18"/>
      <w:lang w:val="en-GB" w:eastAsia="en-GB"/>
    </w:rPr>
  </w:style>
  <w:style w:type="character" w:customStyle="1" w:styleId="21">
    <w:name w:val="页脚 字符"/>
    <w:basedOn w:val="10"/>
    <w:link w:val="6"/>
    <w:qFormat/>
    <w:uiPriority w:val="99"/>
    <w:rPr>
      <w:rFonts w:ascii="Times New Roman" w:hAnsi="Times New Roman" w:eastAsia="Times New Roman" w:cs="Times New Roman"/>
      <w:kern w:val="0"/>
      <w:sz w:val="18"/>
      <w:szCs w:val="18"/>
      <w:lang w:val="en-GB" w:eastAsia="en-GB"/>
    </w:rPr>
  </w:style>
  <w:style w:type="character" w:customStyle="1" w:styleId="22">
    <w:name w:val="标题 2 字符"/>
    <w:basedOn w:val="10"/>
    <w:link w:val="3"/>
    <w:semiHidden/>
    <w:qFormat/>
    <w:uiPriority w:val="9"/>
    <w:rPr>
      <w:rFonts w:asciiTheme="majorHAnsi" w:hAnsiTheme="majorHAnsi" w:eastAsiaTheme="majorEastAsia" w:cstheme="majorBidi"/>
      <w:b/>
      <w:bCs/>
      <w:kern w:val="0"/>
      <w:sz w:val="32"/>
      <w:szCs w:val="32"/>
      <w:lang w:val="en-GB" w:eastAsia="en-GB"/>
    </w:rPr>
  </w:style>
  <w:style w:type="paragraph" w:customStyle="1" w:styleId="23">
    <w:name w:val="Table Title"/>
    <w:basedOn w:val="1"/>
    <w:qFormat/>
    <w:uiPriority w:val="0"/>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4">
    <w:name w:val="无格式表格 21"/>
    <w:basedOn w:val="8"/>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5">
    <w:name w:val="网格表 1 浅色1"/>
    <w:basedOn w:val="8"/>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6">
    <w:name w:val="CR Cover Page"/>
    <w:qFormat/>
    <w:uiPriority w:val="0"/>
    <w:pPr>
      <w:spacing w:after="120"/>
    </w:pPr>
    <w:rPr>
      <w:rFonts w:ascii="Arial" w:hAnsi="Arial" w:cs="Times New Roman" w:eastAsiaTheme="minorEastAsia"/>
      <w:lang w:val="en-GB" w:eastAsia="en-US" w:bidi="ar-SA"/>
    </w:rPr>
  </w:style>
  <w:style w:type="paragraph" w:customStyle="1" w:styleId="27">
    <w:name w:val="B1"/>
    <w:basedOn w:val="1"/>
    <w:link w:val="29"/>
    <w:qFormat/>
    <w:uiPriority w:val="0"/>
    <w:pPr>
      <w:overflowPunct/>
      <w:autoSpaceDE/>
      <w:autoSpaceDN/>
      <w:adjustRightInd/>
      <w:ind w:left="568" w:hanging="284"/>
      <w:textAlignment w:val="auto"/>
    </w:pPr>
    <w:rPr>
      <w:rFonts w:eastAsiaTheme="minorEastAsia"/>
      <w:lang w:eastAsia="en-US"/>
    </w:rPr>
  </w:style>
  <w:style w:type="paragraph" w:customStyle="1" w:styleId="28">
    <w:name w:val="B2"/>
    <w:basedOn w:val="1"/>
    <w:link w:val="30"/>
    <w:qFormat/>
    <w:uiPriority w:val="0"/>
    <w:pPr>
      <w:overflowPunct/>
      <w:autoSpaceDE/>
      <w:autoSpaceDN/>
      <w:adjustRightInd/>
      <w:ind w:left="851" w:hanging="284"/>
      <w:textAlignment w:val="auto"/>
    </w:pPr>
    <w:rPr>
      <w:rFonts w:eastAsiaTheme="minorEastAsia"/>
      <w:lang w:eastAsia="en-US"/>
    </w:rPr>
  </w:style>
  <w:style w:type="character" w:customStyle="1" w:styleId="29">
    <w:name w:val="B1 Char"/>
    <w:link w:val="27"/>
    <w:qFormat/>
    <w:uiPriority w:val="0"/>
    <w:rPr>
      <w:rFonts w:ascii="Times New Roman" w:hAnsi="Times New Roman" w:cs="Times New Roman"/>
      <w:kern w:val="0"/>
      <w:sz w:val="20"/>
      <w:szCs w:val="20"/>
      <w:lang w:val="en-GB" w:eastAsia="en-US"/>
    </w:rPr>
  </w:style>
  <w:style w:type="character" w:customStyle="1" w:styleId="30">
    <w:name w:val="B2 Char"/>
    <w:link w:val="28"/>
    <w:qFormat/>
    <w:uiPriority w:val="0"/>
    <w:rPr>
      <w:rFonts w:ascii="Times New Roman" w:hAnsi="Times New Roman" w:cs="Times New Roman"/>
      <w:kern w:val="0"/>
      <w:sz w:val="20"/>
      <w:szCs w:val="20"/>
      <w:lang w:val="en-GB" w:eastAsia="en-US"/>
    </w:rPr>
  </w:style>
  <w:style w:type="character" w:customStyle="1" w:styleId="31">
    <w:name w:val="标题 3 字符"/>
    <w:basedOn w:val="10"/>
    <w:link w:val="4"/>
    <w:semiHidden/>
    <w:qFormat/>
    <w:uiPriority w:val="9"/>
    <w:rPr>
      <w:rFonts w:ascii="Times New Roman" w:hAnsi="Times New Roman" w:eastAsia="Times New Roman" w:cs="Times New Roman"/>
      <w:b/>
      <w:bCs/>
      <w:kern w:val="0"/>
      <w:sz w:val="32"/>
      <w:szCs w:val="32"/>
      <w:lang w:val="en-GB" w:eastAsia="en-GB"/>
    </w:rPr>
  </w:style>
  <w:style w:type="paragraph" w:customStyle="1" w:styleId="32">
    <w:name w:val="TAH"/>
    <w:basedOn w:val="33"/>
    <w:link w:val="36"/>
    <w:qFormat/>
    <w:uiPriority w:val="99"/>
    <w:rPr>
      <w:b/>
    </w:rPr>
  </w:style>
  <w:style w:type="paragraph" w:customStyle="1" w:styleId="33">
    <w:name w:val="TAC"/>
    <w:basedOn w:val="34"/>
    <w:link w:val="35"/>
    <w:qFormat/>
    <w:uiPriority w:val="99"/>
    <w:pPr>
      <w:overflowPunct/>
      <w:autoSpaceDE/>
      <w:autoSpaceDN/>
      <w:adjustRightInd/>
      <w:jc w:val="center"/>
      <w:textAlignment w:val="auto"/>
    </w:pPr>
    <w:rPr>
      <w:rFonts w:eastAsiaTheme="minorEastAsia"/>
      <w:lang w:eastAsia="en-US"/>
    </w:rPr>
  </w:style>
  <w:style w:type="paragraph" w:customStyle="1" w:styleId="34">
    <w:name w:val="TAL"/>
    <w:basedOn w:val="1"/>
    <w:qFormat/>
    <w:uiPriority w:val="0"/>
    <w:pPr>
      <w:keepNext/>
      <w:keepLines/>
      <w:spacing w:after="0"/>
    </w:pPr>
    <w:rPr>
      <w:rFonts w:ascii="Arial" w:hAnsi="Arial"/>
      <w:sz w:val="18"/>
    </w:rPr>
  </w:style>
  <w:style w:type="character" w:customStyle="1" w:styleId="35">
    <w:name w:val="TAC Char"/>
    <w:link w:val="33"/>
    <w:qFormat/>
    <w:uiPriority w:val="99"/>
    <w:rPr>
      <w:rFonts w:ascii="Arial" w:hAnsi="Arial" w:cs="Times New Roman"/>
      <w:kern w:val="0"/>
      <w:sz w:val="18"/>
      <w:szCs w:val="20"/>
      <w:lang w:val="en-GB" w:eastAsia="en-US"/>
    </w:rPr>
  </w:style>
  <w:style w:type="character" w:customStyle="1" w:styleId="36">
    <w:name w:val="TAH Car"/>
    <w:link w:val="32"/>
    <w:qFormat/>
    <w:uiPriority w:val="99"/>
    <w:rPr>
      <w:rFonts w:ascii="Arial" w:hAnsi="Arial" w:cs="Times New Roman"/>
      <w:b/>
      <w:kern w:val="0"/>
      <w:sz w:val="18"/>
      <w:szCs w:val="20"/>
      <w:lang w:val="en-GB" w:eastAsia="en-US"/>
    </w:rPr>
  </w:style>
  <w:style w:type="paragraph" w:customStyle="1" w:styleId="37">
    <w:name w:val="TAN"/>
    <w:basedOn w:val="34"/>
    <w:link w:val="38"/>
    <w:qFormat/>
    <w:uiPriority w:val="0"/>
    <w:pPr>
      <w:overflowPunct/>
      <w:autoSpaceDE/>
      <w:autoSpaceDN/>
      <w:adjustRightInd/>
      <w:ind w:left="851" w:hanging="851"/>
      <w:textAlignment w:val="auto"/>
    </w:pPr>
    <w:rPr>
      <w:rFonts w:eastAsiaTheme="minorEastAsia"/>
      <w:lang w:eastAsia="en-US"/>
    </w:rPr>
  </w:style>
  <w:style w:type="character" w:customStyle="1" w:styleId="38">
    <w:name w:val="TAN Char"/>
    <w:link w:val="37"/>
    <w:qFormat/>
    <w:uiPriority w:val="0"/>
    <w:rPr>
      <w:rFonts w:ascii="Arial" w:hAnsi="Arial" w:cs="Times New Roman"/>
      <w:kern w:val="0"/>
      <w:sz w:val="18"/>
      <w:szCs w:val="20"/>
      <w:lang w:val="en-GB" w:eastAsia="en-US"/>
    </w:rPr>
  </w:style>
  <w:style w:type="paragraph" w:customStyle="1" w:styleId="39">
    <w:name w:val="TH"/>
    <w:basedOn w:val="1"/>
    <w:qFormat/>
    <w:uiPriority w:val="0"/>
    <w:pPr>
      <w:keepNext/>
      <w:keepLines/>
      <w:spacing w:before="60"/>
      <w:jc w:val="center"/>
    </w:pPr>
    <w:rPr>
      <w:rFonts w:ascii="Arial" w:hAnsi="Arial"/>
      <w:b/>
    </w:rPr>
  </w:style>
  <w:style w:type="paragraph" w:customStyle="1" w:styleId="40">
    <w:name w:val="List Paragraph1"/>
    <w:basedOn w:val="1"/>
    <w:qFormat/>
    <w:uiPriority w:val="0"/>
    <w:pPr>
      <w:spacing w:before="100" w:beforeAutospacing="1"/>
      <w:ind w:firstLine="420" w:firstLineChars="200"/>
    </w:pPr>
    <w:rPr>
      <w:rFonts w:eastAsia="宋体"/>
      <w:sz w:val="24"/>
      <w:szCs w:val="24"/>
      <w:lang w:val="en-US" w:eastAsia="zh-CN"/>
    </w:rPr>
  </w:style>
  <w:style w:type="paragraph" w:customStyle="1" w:styleId="41">
    <w:name w:val="Status"/>
    <w:basedOn w:val="42"/>
    <w:qFormat/>
    <w:uiPriority w:val="0"/>
    <w:rPr>
      <w:b w:val="0"/>
    </w:rPr>
  </w:style>
  <w:style w:type="paragraph" w:styleId="42">
    <w:name w:val="Quote"/>
    <w:basedOn w:val="1"/>
    <w:next w:val="1"/>
    <w:qFormat/>
    <w:uiPriority w:val="0"/>
    <w:pPr>
      <w:spacing w:after="120"/>
      <w:ind w:left="792"/>
    </w:pPr>
    <w:rPr>
      <w:rFonts w:ascii="Roboto Condensed" w:hAnsi="Roboto Condensed"/>
      <w:b/>
      <w:color w:val="4472C4" w:themeColor="accent1"/>
      <w14:textFill>
        <w14:solidFill>
          <w14:schemeClr w14:val="accent1"/>
        </w14:solidFill>
      </w14:textFill>
    </w:rPr>
  </w:style>
  <w:style w:type="table" w:customStyle="1" w:styleId="43">
    <w:name w:val="TableGrid1"/>
    <w:basedOn w:val="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531</Words>
  <Characters>2847</Characters>
  <Lines>38</Lines>
  <Paragraphs>10</Paragraphs>
  <TotalTime>3</TotalTime>
  <ScaleCrop>false</ScaleCrop>
  <LinksUpToDate>false</LinksUpToDate>
  <CharactersWithSpaces>3357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2023-05-15T16:56:00Z</dcterms:created>
  <dc:creator>CAICT</dc:creator>
  <cp:lastModifiedBy>Siting Zhu</cp:lastModifiedBy>
  <dcterms:modified xsi:type="dcterms:W3CDTF">2025-03-28T15:05:07Z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EB62A21F50A94B98A9DFFB1B364AF4C3_13</vt:lpwstr>
  </property>
  <property fmtid="{D5CDD505-2E9C-101B-9397-08002B2CF9AE}" pid="4" name="KSOTemplateDocerSaveRecord">
    <vt:lpwstr>eyJoZGlkIjoiOTU4MjljY2YzMDI1NGE4ZjYxYjczNDgxZmJjYzMzMTQiLCJ1c2VySWQiOiI0OTE3MDIwNzMifQ==</vt:lpwstr>
  </property>
</Properties>
</file>